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46EC1" w:rsidRDefault="00000000" w:rsidP="00BA2938">
      <w:pPr>
        <w:spacing w:after="0" w:line="240" w:lineRule="auto"/>
        <w:jc w:val="center"/>
        <w:rPr>
          <w:rFonts w:ascii="Titillium Web" w:hAnsi="Titillium Web"/>
          <w:b/>
          <w:sz w:val="20"/>
          <w:szCs w:val="20"/>
        </w:rPr>
      </w:pPr>
      <w:bookmarkStart w:id="0" w:name="_heading=h.ejhyl6okuiy3" w:colFirst="0" w:colLast="0"/>
      <w:bookmarkEnd w:id="0"/>
      <w:r w:rsidRPr="00BA2938">
        <w:rPr>
          <w:rFonts w:ascii="Titillium Web" w:hAnsi="Titillium Web"/>
          <w:b/>
          <w:sz w:val="20"/>
          <w:szCs w:val="20"/>
        </w:rPr>
        <w:t>RISK FACTORS FOR PASSIVE SCHEMES</w:t>
      </w:r>
    </w:p>
    <w:p w14:paraId="38A1D105" w14:textId="77777777" w:rsidR="00EA5ABC" w:rsidRPr="00BA2938" w:rsidRDefault="00EA5ABC" w:rsidP="00BA2938">
      <w:pPr>
        <w:spacing w:after="0" w:line="240" w:lineRule="auto"/>
        <w:jc w:val="center"/>
        <w:rPr>
          <w:rFonts w:ascii="Titillium Web" w:hAnsi="Titillium Web"/>
          <w:b/>
          <w:sz w:val="20"/>
          <w:szCs w:val="20"/>
        </w:rPr>
      </w:pPr>
    </w:p>
    <w:p w14:paraId="00000002" w14:textId="77777777" w:rsidR="00546EC1" w:rsidRPr="00BA2938" w:rsidRDefault="00000000" w:rsidP="00BA2938">
      <w:pPr>
        <w:keepNext/>
        <w:keepLines/>
        <w:pBdr>
          <w:top w:val="nil"/>
          <w:left w:val="nil"/>
          <w:bottom w:val="nil"/>
          <w:right w:val="nil"/>
          <w:between w:val="nil"/>
        </w:pBdr>
        <w:spacing w:after="0" w:line="240" w:lineRule="auto"/>
        <w:jc w:val="both"/>
        <w:rPr>
          <w:rFonts w:ascii="Titillium Web" w:hAnsi="Titillium Web"/>
          <w:b/>
          <w:color w:val="000000"/>
          <w:sz w:val="20"/>
          <w:szCs w:val="20"/>
        </w:rPr>
      </w:pPr>
      <w:r w:rsidRPr="00BA2938">
        <w:rPr>
          <w:rFonts w:ascii="Titillium Web" w:hAnsi="Titillium Web"/>
          <w:b/>
          <w:color w:val="000000"/>
          <w:sz w:val="20"/>
          <w:szCs w:val="20"/>
        </w:rPr>
        <w:t>Table of Contents</w:t>
      </w:r>
    </w:p>
    <w:sdt>
      <w:sdtPr>
        <w:rPr>
          <w:rFonts w:ascii="Titillium Web" w:hAnsi="Titillium Web"/>
        </w:rPr>
        <w:id w:val="1312757979"/>
        <w:docPartObj>
          <w:docPartGallery w:val="Table of Contents"/>
          <w:docPartUnique/>
        </w:docPartObj>
      </w:sdtPr>
      <w:sdtContent>
        <w:p w14:paraId="00000003" w14:textId="77777777" w:rsidR="00546EC1" w:rsidRPr="00BA2938" w:rsidRDefault="00000000" w:rsidP="00BA2938">
          <w:pPr>
            <w:pBdr>
              <w:top w:val="nil"/>
              <w:left w:val="nil"/>
              <w:bottom w:val="nil"/>
              <w:right w:val="nil"/>
              <w:between w:val="nil"/>
            </w:pBdr>
            <w:tabs>
              <w:tab w:val="left" w:pos="440"/>
              <w:tab w:val="right" w:leader="dot" w:pos="9350"/>
            </w:tabs>
            <w:spacing w:after="0" w:line="240" w:lineRule="auto"/>
            <w:rPr>
              <w:rFonts w:ascii="Titillium Web" w:hAnsi="Titillium Web"/>
              <w:b/>
              <w:color w:val="000000"/>
              <w:sz w:val="20"/>
              <w:szCs w:val="20"/>
            </w:rPr>
          </w:pPr>
          <w:r w:rsidRPr="00BA2938">
            <w:rPr>
              <w:rFonts w:ascii="Titillium Web" w:hAnsi="Titillium Web"/>
            </w:rPr>
            <w:fldChar w:fldCharType="begin"/>
          </w:r>
          <w:r w:rsidRPr="00BA2938">
            <w:rPr>
              <w:rFonts w:ascii="Titillium Web" w:hAnsi="Titillium Web"/>
            </w:rPr>
            <w:instrText xml:space="preserve"> TOC \h \u \z \t "Heading 1,1,Heading 2,2,Heading 3,3,"</w:instrText>
          </w:r>
          <w:r w:rsidRPr="00BA2938">
            <w:rPr>
              <w:rFonts w:ascii="Titillium Web" w:hAnsi="Titillium Web"/>
            </w:rPr>
            <w:fldChar w:fldCharType="separate"/>
          </w:r>
          <w:hyperlink w:anchor="_heading=h.whuetew4b4ui">
            <w:r w:rsidR="00546EC1" w:rsidRPr="00BA2938">
              <w:rPr>
                <w:rFonts w:ascii="Titillium Web" w:hAnsi="Titillium Web"/>
                <w:b/>
                <w:color w:val="000000"/>
                <w:sz w:val="20"/>
                <w:szCs w:val="20"/>
              </w:rPr>
              <w:t>1.</w:t>
            </w:r>
            <w:r w:rsidR="00546EC1" w:rsidRPr="00BA2938">
              <w:rPr>
                <w:rFonts w:ascii="Titillium Web" w:hAnsi="Titillium Web"/>
                <w:b/>
                <w:color w:val="000000"/>
                <w:sz w:val="20"/>
                <w:szCs w:val="20"/>
              </w:rPr>
              <w:tab/>
              <w:t>Navi Nifty 50 Index Fund</w:t>
            </w:r>
            <w:r w:rsidR="00546EC1" w:rsidRPr="00BA2938">
              <w:rPr>
                <w:rFonts w:ascii="Titillium Web" w:hAnsi="Titillium Web"/>
                <w:b/>
                <w:color w:val="000000"/>
                <w:sz w:val="20"/>
                <w:szCs w:val="20"/>
              </w:rPr>
              <w:tab/>
              <w:t>2</w:t>
            </w:r>
          </w:hyperlink>
        </w:p>
        <w:p w14:paraId="00000004" w14:textId="77777777" w:rsidR="00546EC1" w:rsidRPr="00BA2938" w:rsidRDefault="00546EC1" w:rsidP="00BA2938">
          <w:pPr>
            <w:pBdr>
              <w:top w:val="nil"/>
              <w:left w:val="nil"/>
              <w:bottom w:val="nil"/>
              <w:right w:val="nil"/>
              <w:between w:val="nil"/>
            </w:pBdr>
            <w:tabs>
              <w:tab w:val="left" w:pos="440"/>
              <w:tab w:val="right" w:leader="dot" w:pos="9350"/>
            </w:tabs>
            <w:spacing w:after="0" w:line="240" w:lineRule="auto"/>
            <w:rPr>
              <w:rFonts w:ascii="Titillium Web" w:hAnsi="Titillium Web"/>
              <w:b/>
              <w:color w:val="000000"/>
              <w:sz w:val="20"/>
              <w:szCs w:val="20"/>
            </w:rPr>
          </w:pPr>
          <w:hyperlink w:anchor="_heading=h.uq8u6jusulpv">
            <w:r w:rsidRPr="00BA2938">
              <w:rPr>
                <w:rFonts w:ascii="Titillium Web" w:hAnsi="Titillium Web"/>
                <w:b/>
                <w:color w:val="000000"/>
                <w:sz w:val="20"/>
                <w:szCs w:val="20"/>
              </w:rPr>
              <w:t>2.</w:t>
            </w:r>
            <w:r w:rsidRPr="00BA2938">
              <w:rPr>
                <w:rFonts w:ascii="Titillium Web" w:hAnsi="Titillium Web"/>
                <w:b/>
                <w:color w:val="000000"/>
                <w:sz w:val="20"/>
                <w:szCs w:val="20"/>
              </w:rPr>
              <w:tab/>
              <w:t>Navi Nifty Nex</w:t>
            </w:r>
            <w:r w:rsidRPr="00BA2938">
              <w:rPr>
                <w:rFonts w:ascii="Titillium Web" w:hAnsi="Titillium Web"/>
                <w:b/>
                <w:color w:val="000000"/>
                <w:sz w:val="20"/>
                <w:szCs w:val="20"/>
              </w:rPr>
              <w:t>t</w:t>
            </w:r>
            <w:r w:rsidRPr="00BA2938">
              <w:rPr>
                <w:rFonts w:ascii="Titillium Web" w:hAnsi="Titillium Web"/>
                <w:b/>
                <w:color w:val="000000"/>
                <w:sz w:val="20"/>
                <w:szCs w:val="20"/>
              </w:rPr>
              <w:t xml:space="preserve"> 50 Index Fund</w:t>
            </w:r>
            <w:r w:rsidRPr="00BA2938">
              <w:rPr>
                <w:rFonts w:ascii="Titillium Web" w:hAnsi="Titillium Web"/>
                <w:b/>
                <w:color w:val="000000"/>
                <w:sz w:val="20"/>
                <w:szCs w:val="20"/>
              </w:rPr>
              <w:tab/>
              <w:t>7</w:t>
            </w:r>
          </w:hyperlink>
        </w:p>
        <w:p w14:paraId="00000005" w14:textId="77777777" w:rsidR="00546EC1" w:rsidRPr="00BA2938" w:rsidRDefault="00546EC1" w:rsidP="00BA2938">
          <w:pPr>
            <w:pBdr>
              <w:top w:val="nil"/>
              <w:left w:val="nil"/>
              <w:bottom w:val="nil"/>
              <w:right w:val="nil"/>
              <w:between w:val="nil"/>
            </w:pBdr>
            <w:tabs>
              <w:tab w:val="left" w:pos="440"/>
              <w:tab w:val="right" w:leader="dot" w:pos="9350"/>
            </w:tabs>
            <w:spacing w:after="0" w:line="240" w:lineRule="auto"/>
            <w:rPr>
              <w:rFonts w:ascii="Titillium Web" w:hAnsi="Titillium Web"/>
              <w:b/>
              <w:color w:val="000000"/>
              <w:sz w:val="20"/>
              <w:szCs w:val="20"/>
            </w:rPr>
          </w:pPr>
          <w:hyperlink w:anchor="_heading=h.fwt2u7tuue9i">
            <w:r w:rsidRPr="00BA2938">
              <w:rPr>
                <w:rFonts w:ascii="Titillium Web" w:hAnsi="Titillium Web"/>
                <w:b/>
                <w:color w:val="000000"/>
                <w:sz w:val="20"/>
                <w:szCs w:val="20"/>
              </w:rPr>
              <w:t>3.</w:t>
            </w:r>
            <w:r w:rsidRPr="00BA2938">
              <w:rPr>
                <w:rFonts w:ascii="Titillium Web" w:hAnsi="Titillium Web"/>
                <w:b/>
                <w:color w:val="000000"/>
                <w:sz w:val="20"/>
                <w:szCs w:val="20"/>
              </w:rPr>
              <w:tab/>
              <w:t>Navi Nifty Bank Index Fund</w:t>
            </w:r>
            <w:r w:rsidRPr="00BA2938">
              <w:rPr>
                <w:rFonts w:ascii="Titillium Web" w:hAnsi="Titillium Web"/>
                <w:b/>
                <w:color w:val="000000"/>
                <w:sz w:val="20"/>
                <w:szCs w:val="20"/>
              </w:rPr>
              <w:tab/>
              <w:t>12</w:t>
            </w:r>
          </w:hyperlink>
        </w:p>
        <w:p w14:paraId="00000006" w14:textId="77777777" w:rsidR="00546EC1" w:rsidRPr="00BA2938" w:rsidRDefault="00546EC1" w:rsidP="00BA2938">
          <w:pPr>
            <w:pBdr>
              <w:top w:val="nil"/>
              <w:left w:val="nil"/>
              <w:bottom w:val="nil"/>
              <w:right w:val="nil"/>
              <w:between w:val="nil"/>
            </w:pBdr>
            <w:tabs>
              <w:tab w:val="left" w:pos="440"/>
              <w:tab w:val="right" w:leader="dot" w:pos="9350"/>
            </w:tabs>
            <w:spacing w:after="0" w:line="240" w:lineRule="auto"/>
            <w:rPr>
              <w:rFonts w:ascii="Titillium Web" w:hAnsi="Titillium Web"/>
              <w:b/>
              <w:color w:val="000000"/>
              <w:sz w:val="20"/>
              <w:szCs w:val="20"/>
            </w:rPr>
          </w:pPr>
          <w:hyperlink w:anchor="_heading=h.x64z8tkmu8q8">
            <w:r w:rsidRPr="00BA2938">
              <w:rPr>
                <w:rFonts w:ascii="Titillium Web" w:hAnsi="Titillium Web"/>
                <w:b/>
                <w:color w:val="000000"/>
                <w:sz w:val="20"/>
                <w:szCs w:val="20"/>
              </w:rPr>
              <w:t>4.</w:t>
            </w:r>
            <w:r w:rsidRPr="00BA2938">
              <w:rPr>
                <w:rFonts w:ascii="Titillium Web" w:hAnsi="Titillium Web"/>
                <w:b/>
                <w:color w:val="000000"/>
                <w:sz w:val="20"/>
                <w:szCs w:val="20"/>
              </w:rPr>
              <w:tab/>
              <w:t>Navi Nifty Midcap 150 Index Fund</w:t>
            </w:r>
            <w:r w:rsidRPr="00BA2938">
              <w:rPr>
                <w:rFonts w:ascii="Titillium Web" w:hAnsi="Titillium Web"/>
                <w:b/>
                <w:color w:val="000000"/>
                <w:sz w:val="20"/>
                <w:szCs w:val="20"/>
              </w:rPr>
              <w:tab/>
              <w:t>18</w:t>
            </w:r>
          </w:hyperlink>
        </w:p>
        <w:p w14:paraId="00000007" w14:textId="77777777" w:rsidR="00546EC1" w:rsidRPr="00BA2938" w:rsidRDefault="00546EC1" w:rsidP="00BA2938">
          <w:pPr>
            <w:pBdr>
              <w:top w:val="nil"/>
              <w:left w:val="nil"/>
              <w:bottom w:val="nil"/>
              <w:right w:val="nil"/>
              <w:between w:val="nil"/>
            </w:pBdr>
            <w:tabs>
              <w:tab w:val="left" w:pos="440"/>
              <w:tab w:val="right" w:leader="dot" w:pos="9350"/>
            </w:tabs>
            <w:spacing w:after="0" w:line="240" w:lineRule="auto"/>
            <w:rPr>
              <w:rFonts w:ascii="Titillium Web" w:hAnsi="Titillium Web"/>
              <w:b/>
              <w:color w:val="000000"/>
              <w:sz w:val="20"/>
              <w:szCs w:val="20"/>
            </w:rPr>
          </w:pPr>
          <w:hyperlink w:anchor="_heading=h.eju4oiyiklpy">
            <w:r w:rsidRPr="00BA2938">
              <w:rPr>
                <w:rFonts w:ascii="Titillium Web" w:hAnsi="Titillium Web"/>
                <w:b/>
                <w:color w:val="000000"/>
                <w:sz w:val="20"/>
                <w:szCs w:val="20"/>
              </w:rPr>
              <w:t>5.</w:t>
            </w:r>
            <w:r w:rsidRPr="00BA2938">
              <w:rPr>
                <w:rFonts w:ascii="Titillium Web" w:hAnsi="Titillium Web"/>
                <w:b/>
                <w:color w:val="000000"/>
                <w:sz w:val="20"/>
                <w:szCs w:val="20"/>
              </w:rPr>
              <w:tab/>
              <w:t>Navi Nifty India Manufacturing Index Fund</w:t>
            </w:r>
            <w:r w:rsidRPr="00BA2938">
              <w:rPr>
                <w:rFonts w:ascii="Titillium Web" w:hAnsi="Titillium Web"/>
                <w:b/>
                <w:color w:val="000000"/>
                <w:sz w:val="20"/>
                <w:szCs w:val="20"/>
              </w:rPr>
              <w:tab/>
              <w:t>25</w:t>
            </w:r>
          </w:hyperlink>
        </w:p>
        <w:p w14:paraId="00000008" w14:textId="77777777" w:rsidR="00546EC1" w:rsidRPr="00BA2938" w:rsidRDefault="00546EC1" w:rsidP="00BA2938">
          <w:pPr>
            <w:pBdr>
              <w:top w:val="nil"/>
              <w:left w:val="nil"/>
              <w:bottom w:val="nil"/>
              <w:right w:val="nil"/>
              <w:between w:val="nil"/>
            </w:pBdr>
            <w:tabs>
              <w:tab w:val="left" w:pos="440"/>
              <w:tab w:val="right" w:leader="dot" w:pos="9350"/>
            </w:tabs>
            <w:spacing w:after="0" w:line="240" w:lineRule="auto"/>
            <w:rPr>
              <w:rFonts w:ascii="Titillium Web" w:hAnsi="Titillium Web"/>
              <w:b/>
              <w:color w:val="000000"/>
              <w:sz w:val="20"/>
              <w:szCs w:val="20"/>
            </w:rPr>
          </w:pPr>
          <w:hyperlink w:anchor="_heading=h.92qjxbugdj28">
            <w:r w:rsidRPr="00BA2938">
              <w:rPr>
                <w:rFonts w:ascii="Titillium Web" w:hAnsi="Titillium Web"/>
                <w:b/>
                <w:color w:val="000000"/>
                <w:sz w:val="20"/>
                <w:szCs w:val="20"/>
              </w:rPr>
              <w:t>6.</w:t>
            </w:r>
            <w:r w:rsidRPr="00BA2938">
              <w:rPr>
                <w:rFonts w:ascii="Titillium Web" w:hAnsi="Titillium Web"/>
                <w:b/>
                <w:color w:val="000000"/>
                <w:sz w:val="20"/>
                <w:szCs w:val="20"/>
              </w:rPr>
              <w:tab/>
              <w:t>Navi ELSS Tax Saver Nifty 50 Index Fund</w:t>
            </w:r>
            <w:r w:rsidRPr="00BA2938">
              <w:rPr>
                <w:rFonts w:ascii="Titillium Web" w:hAnsi="Titillium Web"/>
                <w:b/>
                <w:color w:val="000000"/>
                <w:sz w:val="20"/>
                <w:szCs w:val="20"/>
              </w:rPr>
              <w:tab/>
              <w:t>32</w:t>
            </w:r>
          </w:hyperlink>
        </w:p>
        <w:p w14:paraId="00000009" w14:textId="77777777" w:rsidR="00546EC1" w:rsidRPr="00BA2938" w:rsidRDefault="00546EC1" w:rsidP="00BA2938">
          <w:pPr>
            <w:pBdr>
              <w:top w:val="nil"/>
              <w:left w:val="nil"/>
              <w:bottom w:val="nil"/>
              <w:right w:val="nil"/>
              <w:between w:val="nil"/>
            </w:pBdr>
            <w:tabs>
              <w:tab w:val="left" w:pos="440"/>
              <w:tab w:val="right" w:leader="dot" w:pos="9350"/>
            </w:tabs>
            <w:spacing w:after="0" w:line="240" w:lineRule="auto"/>
            <w:rPr>
              <w:rFonts w:ascii="Titillium Web" w:hAnsi="Titillium Web"/>
              <w:b/>
              <w:color w:val="000000"/>
              <w:sz w:val="20"/>
              <w:szCs w:val="20"/>
            </w:rPr>
          </w:pPr>
          <w:hyperlink w:anchor="_heading=h.gn52ji1nn382">
            <w:r w:rsidRPr="00BA2938">
              <w:rPr>
                <w:rFonts w:ascii="Titillium Web" w:hAnsi="Titillium Web"/>
                <w:b/>
                <w:color w:val="000000"/>
                <w:sz w:val="20"/>
                <w:szCs w:val="20"/>
              </w:rPr>
              <w:t>7.</w:t>
            </w:r>
            <w:r w:rsidRPr="00BA2938">
              <w:rPr>
                <w:rFonts w:ascii="Titillium Web" w:hAnsi="Titillium Web"/>
                <w:b/>
                <w:color w:val="000000"/>
                <w:sz w:val="20"/>
                <w:szCs w:val="20"/>
              </w:rPr>
              <w:tab/>
              <w:t>Navi BSE Sensex Index Fund</w:t>
            </w:r>
            <w:r w:rsidRPr="00BA2938">
              <w:rPr>
                <w:rFonts w:ascii="Titillium Web" w:hAnsi="Titillium Web"/>
                <w:b/>
                <w:color w:val="000000"/>
                <w:sz w:val="20"/>
                <w:szCs w:val="20"/>
              </w:rPr>
              <w:tab/>
              <w:t>37</w:t>
            </w:r>
          </w:hyperlink>
        </w:p>
        <w:p w14:paraId="0000000A" w14:textId="77777777" w:rsidR="00546EC1" w:rsidRPr="00BA2938" w:rsidRDefault="00546EC1" w:rsidP="00BA2938">
          <w:pPr>
            <w:pBdr>
              <w:top w:val="nil"/>
              <w:left w:val="nil"/>
              <w:bottom w:val="nil"/>
              <w:right w:val="nil"/>
              <w:between w:val="nil"/>
            </w:pBdr>
            <w:tabs>
              <w:tab w:val="left" w:pos="440"/>
              <w:tab w:val="right" w:leader="dot" w:pos="9350"/>
            </w:tabs>
            <w:spacing w:after="0" w:line="240" w:lineRule="auto"/>
            <w:rPr>
              <w:rFonts w:ascii="Titillium Web" w:hAnsi="Titillium Web"/>
              <w:b/>
              <w:color w:val="000000"/>
              <w:sz w:val="20"/>
              <w:szCs w:val="20"/>
            </w:rPr>
          </w:pPr>
          <w:hyperlink w:anchor="_heading=h.sdcqev7gwry4">
            <w:r w:rsidRPr="00BA2938">
              <w:rPr>
                <w:rFonts w:ascii="Titillium Web" w:hAnsi="Titillium Web"/>
                <w:b/>
                <w:color w:val="000000"/>
                <w:sz w:val="20"/>
                <w:szCs w:val="20"/>
              </w:rPr>
              <w:t>8.</w:t>
            </w:r>
            <w:r w:rsidRPr="00BA2938">
              <w:rPr>
                <w:rFonts w:ascii="Titillium Web" w:hAnsi="Titillium Web"/>
                <w:b/>
                <w:color w:val="000000"/>
                <w:sz w:val="20"/>
                <w:szCs w:val="20"/>
              </w:rPr>
              <w:tab/>
              <w:t>Navi Nifty IT Index Fund</w:t>
            </w:r>
            <w:r w:rsidRPr="00BA2938">
              <w:rPr>
                <w:rFonts w:ascii="Titillium Web" w:hAnsi="Titillium Web"/>
                <w:b/>
                <w:color w:val="000000"/>
                <w:sz w:val="20"/>
                <w:szCs w:val="20"/>
              </w:rPr>
              <w:tab/>
              <w:t>46</w:t>
            </w:r>
          </w:hyperlink>
        </w:p>
        <w:p w14:paraId="0000000B" w14:textId="77777777" w:rsidR="00546EC1" w:rsidRPr="00BA2938" w:rsidRDefault="00546EC1" w:rsidP="00BA2938">
          <w:pPr>
            <w:pBdr>
              <w:top w:val="nil"/>
              <w:left w:val="nil"/>
              <w:bottom w:val="nil"/>
              <w:right w:val="nil"/>
              <w:between w:val="nil"/>
            </w:pBdr>
            <w:tabs>
              <w:tab w:val="left" w:pos="440"/>
              <w:tab w:val="right" w:leader="dot" w:pos="9350"/>
            </w:tabs>
            <w:spacing w:after="0" w:line="240" w:lineRule="auto"/>
            <w:rPr>
              <w:rFonts w:ascii="Titillium Web" w:hAnsi="Titillium Web"/>
              <w:b/>
              <w:color w:val="000000"/>
              <w:sz w:val="20"/>
              <w:szCs w:val="20"/>
            </w:rPr>
          </w:pPr>
          <w:hyperlink w:anchor="_heading=h.4azxm3achu6y">
            <w:r w:rsidRPr="00BA2938">
              <w:rPr>
                <w:rFonts w:ascii="Titillium Web" w:hAnsi="Titillium Web"/>
                <w:b/>
                <w:color w:val="000000"/>
                <w:sz w:val="20"/>
                <w:szCs w:val="20"/>
              </w:rPr>
              <w:t>9.</w:t>
            </w:r>
            <w:r w:rsidRPr="00BA2938">
              <w:rPr>
                <w:rFonts w:ascii="Titillium Web" w:hAnsi="Titillium Web"/>
                <w:b/>
                <w:color w:val="000000"/>
                <w:sz w:val="20"/>
                <w:szCs w:val="20"/>
              </w:rPr>
              <w:tab/>
              <w:t>Navi Nifty 500 Multicap 50:25:25 Index Fund</w:t>
            </w:r>
            <w:r w:rsidRPr="00BA2938">
              <w:rPr>
                <w:rFonts w:ascii="Titillium Web" w:hAnsi="Titillium Web"/>
                <w:b/>
                <w:color w:val="000000"/>
                <w:sz w:val="20"/>
                <w:szCs w:val="20"/>
              </w:rPr>
              <w:tab/>
              <w:t>55</w:t>
            </w:r>
          </w:hyperlink>
        </w:p>
        <w:p w14:paraId="0000000C" w14:textId="77777777" w:rsidR="00546EC1" w:rsidRPr="00BA2938" w:rsidRDefault="00546EC1" w:rsidP="00BA2938">
          <w:pPr>
            <w:pBdr>
              <w:top w:val="nil"/>
              <w:left w:val="nil"/>
              <w:bottom w:val="nil"/>
              <w:right w:val="nil"/>
              <w:between w:val="nil"/>
            </w:pBdr>
            <w:tabs>
              <w:tab w:val="left" w:pos="660"/>
              <w:tab w:val="right" w:leader="dot" w:pos="9350"/>
            </w:tabs>
            <w:spacing w:after="0" w:line="240" w:lineRule="auto"/>
            <w:rPr>
              <w:rFonts w:ascii="Titillium Web" w:hAnsi="Titillium Web"/>
              <w:b/>
              <w:color w:val="000000"/>
              <w:sz w:val="20"/>
              <w:szCs w:val="20"/>
            </w:rPr>
          </w:pPr>
          <w:hyperlink w:anchor="_heading=h.fg68llwrye6r">
            <w:r w:rsidRPr="00BA2938">
              <w:rPr>
                <w:rFonts w:ascii="Titillium Web" w:hAnsi="Titillium Web"/>
                <w:b/>
                <w:color w:val="000000"/>
                <w:sz w:val="20"/>
                <w:szCs w:val="20"/>
              </w:rPr>
              <w:t>10.    Navi Nifty Smallcap250 Momentum Quality 100 Index Fund</w:t>
            </w:r>
            <w:r w:rsidRPr="00BA2938">
              <w:rPr>
                <w:rFonts w:ascii="Titillium Web" w:hAnsi="Titillium Web"/>
                <w:b/>
                <w:color w:val="000000"/>
                <w:sz w:val="20"/>
                <w:szCs w:val="20"/>
              </w:rPr>
              <w:tab/>
              <w:t>61</w:t>
            </w:r>
          </w:hyperlink>
        </w:p>
        <w:p w14:paraId="0000000D" w14:textId="77777777" w:rsidR="00546EC1" w:rsidRPr="00BA2938" w:rsidRDefault="00546EC1" w:rsidP="00BA2938">
          <w:pPr>
            <w:pBdr>
              <w:top w:val="nil"/>
              <w:left w:val="nil"/>
              <w:bottom w:val="nil"/>
              <w:right w:val="nil"/>
              <w:between w:val="nil"/>
            </w:pBdr>
            <w:tabs>
              <w:tab w:val="left" w:pos="660"/>
              <w:tab w:val="right" w:leader="dot" w:pos="9350"/>
            </w:tabs>
            <w:spacing w:after="0" w:line="240" w:lineRule="auto"/>
            <w:rPr>
              <w:rFonts w:ascii="Titillium Web" w:hAnsi="Titillium Web"/>
              <w:b/>
              <w:color w:val="000000"/>
              <w:sz w:val="20"/>
              <w:szCs w:val="20"/>
            </w:rPr>
          </w:pPr>
          <w:hyperlink w:anchor="_heading=h.exh1bs6crcq">
            <w:r w:rsidRPr="00BA2938">
              <w:rPr>
                <w:rFonts w:ascii="Titillium Web" w:hAnsi="Titillium Web"/>
                <w:b/>
                <w:color w:val="000000"/>
                <w:sz w:val="20"/>
                <w:szCs w:val="20"/>
              </w:rPr>
              <w:t>11.    Navi US Total Stock Market Fund of Fund</w:t>
            </w:r>
            <w:r w:rsidRPr="00BA2938">
              <w:rPr>
                <w:rFonts w:ascii="Titillium Web" w:hAnsi="Titillium Web"/>
                <w:b/>
                <w:color w:val="000000"/>
                <w:sz w:val="20"/>
                <w:szCs w:val="20"/>
              </w:rPr>
              <w:tab/>
              <w:t>61</w:t>
            </w:r>
          </w:hyperlink>
        </w:p>
        <w:p w14:paraId="0000000E" w14:textId="77777777" w:rsidR="00546EC1" w:rsidRPr="00BA2938" w:rsidRDefault="00546EC1" w:rsidP="00BA2938">
          <w:pPr>
            <w:pBdr>
              <w:top w:val="nil"/>
              <w:left w:val="nil"/>
              <w:bottom w:val="nil"/>
              <w:right w:val="nil"/>
              <w:between w:val="nil"/>
            </w:pBdr>
            <w:tabs>
              <w:tab w:val="left" w:pos="660"/>
              <w:tab w:val="right" w:leader="dot" w:pos="9350"/>
            </w:tabs>
            <w:spacing w:after="0" w:line="240" w:lineRule="auto"/>
            <w:rPr>
              <w:rFonts w:ascii="Titillium Web" w:hAnsi="Titillium Web"/>
              <w:b/>
              <w:color w:val="000000"/>
              <w:sz w:val="20"/>
              <w:szCs w:val="20"/>
            </w:rPr>
          </w:pPr>
          <w:hyperlink w:anchor="_heading=h.479ns9ehvt0l">
            <w:r w:rsidRPr="00BA2938">
              <w:rPr>
                <w:rFonts w:ascii="Titillium Web" w:hAnsi="Titillium Web"/>
                <w:b/>
                <w:color w:val="000000"/>
                <w:sz w:val="20"/>
                <w:szCs w:val="20"/>
              </w:rPr>
              <w:t>12.    Navi Nasdaq 100 Fund of Fund</w:t>
            </w:r>
            <w:r w:rsidRPr="00BA2938">
              <w:rPr>
                <w:rFonts w:ascii="Titillium Web" w:hAnsi="Titillium Web"/>
                <w:b/>
                <w:color w:val="000000"/>
                <w:sz w:val="20"/>
                <w:szCs w:val="20"/>
              </w:rPr>
              <w:tab/>
              <w:t>67</w:t>
            </w:r>
          </w:hyperlink>
          <w:r w:rsidR="00000000" w:rsidRPr="00BA2938">
            <w:rPr>
              <w:rFonts w:ascii="Titillium Web" w:hAnsi="Titillium Web"/>
            </w:rPr>
            <w:fldChar w:fldCharType="end"/>
          </w:r>
        </w:p>
      </w:sdtContent>
    </w:sdt>
    <w:p w14:paraId="0000000F" w14:textId="77777777" w:rsidR="00546EC1" w:rsidRPr="00BA2938" w:rsidRDefault="00546EC1" w:rsidP="00BA2938">
      <w:pPr>
        <w:spacing w:after="0" w:line="240" w:lineRule="auto"/>
        <w:jc w:val="both"/>
        <w:rPr>
          <w:rFonts w:ascii="Titillium Web" w:hAnsi="Titillium Web"/>
          <w:b/>
          <w:sz w:val="20"/>
          <w:szCs w:val="20"/>
        </w:rPr>
      </w:pPr>
    </w:p>
    <w:p w14:paraId="00000020" w14:textId="41823189" w:rsidR="00BA2938" w:rsidRPr="00BA2938" w:rsidRDefault="00BA2938">
      <w:pPr>
        <w:rPr>
          <w:rFonts w:ascii="Titillium Web" w:hAnsi="Titillium Web"/>
          <w:sz w:val="20"/>
          <w:szCs w:val="20"/>
        </w:rPr>
      </w:pPr>
      <w:r w:rsidRPr="00BA2938">
        <w:rPr>
          <w:rFonts w:ascii="Titillium Web" w:hAnsi="Titillium Web"/>
          <w:sz w:val="20"/>
          <w:szCs w:val="20"/>
        </w:rPr>
        <w:br w:type="page"/>
      </w:r>
    </w:p>
    <w:p w14:paraId="7287BB85" w14:textId="6E4B5CCE" w:rsidR="00BA2938" w:rsidRPr="00BA2938" w:rsidRDefault="00000000" w:rsidP="00FA14F4">
      <w:pPr>
        <w:pStyle w:val="Heading1"/>
        <w:spacing w:before="0" w:line="240" w:lineRule="auto"/>
        <w:jc w:val="center"/>
        <w:rPr>
          <w:rFonts w:ascii="Titillium Web" w:eastAsia="Calibri" w:hAnsi="Titillium Web" w:cs="Calibri"/>
          <w:b/>
          <w:color w:val="000000"/>
          <w:sz w:val="28"/>
          <w:szCs w:val="28"/>
        </w:rPr>
      </w:pPr>
      <w:bookmarkStart w:id="1" w:name="_heading=h.whuetew4b4ui" w:colFirst="0" w:colLast="0"/>
      <w:bookmarkEnd w:id="1"/>
      <w:r w:rsidRPr="00BA2938">
        <w:rPr>
          <w:rFonts w:ascii="Titillium Web" w:eastAsia="Calibri" w:hAnsi="Titillium Web" w:cs="Calibri"/>
          <w:b/>
          <w:color w:val="000000"/>
          <w:sz w:val="28"/>
          <w:szCs w:val="28"/>
        </w:rPr>
        <w:lastRenderedPageBreak/>
        <w:t>Navi Nifty 50 Index Fund</w:t>
      </w:r>
    </w:p>
    <w:p w14:paraId="634B474D" w14:textId="77777777" w:rsidR="00BA2938" w:rsidRPr="00BA2938" w:rsidRDefault="00BA2938" w:rsidP="00BA2938">
      <w:pPr>
        <w:rPr>
          <w:rFonts w:ascii="Titillium Web" w:hAnsi="Titillium Web"/>
        </w:rPr>
      </w:pPr>
    </w:p>
    <w:p w14:paraId="00000022" w14:textId="77777777" w:rsidR="00546EC1" w:rsidRPr="00BA2938" w:rsidRDefault="00000000" w:rsidP="00BA2938">
      <w:pPr>
        <w:pStyle w:val="Heading2"/>
        <w:spacing w:before="0" w:line="240" w:lineRule="auto"/>
        <w:jc w:val="both"/>
        <w:rPr>
          <w:rFonts w:ascii="Titillium Web" w:eastAsia="Calibri" w:hAnsi="Titillium Web" w:cs="Calibri"/>
          <w:b/>
          <w:color w:val="000000"/>
          <w:sz w:val="20"/>
          <w:szCs w:val="20"/>
        </w:rPr>
      </w:pPr>
      <w:bookmarkStart w:id="2" w:name="_heading=h.bgfwt6psdnby" w:colFirst="0" w:colLast="0"/>
      <w:bookmarkEnd w:id="2"/>
      <w:r w:rsidRPr="00BA2938">
        <w:rPr>
          <w:rFonts w:ascii="Titillium Web" w:eastAsia="Calibri" w:hAnsi="Titillium Web" w:cs="Calibri"/>
          <w:b/>
          <w:color w:val="000000"/>
          <w:sz w:val="20"/>
          <w:szCs w:val="20"/>
        </w:rPr>
        <w:t>Scheme Specific Risk Factors</w:t>
      </w:r>
    </w:p>
    <w:p w14:paraId="5B834393" w14:textId="77777777" w:rsidR="00BA2938" w:rsidRPr="00BA2938" w:rsidRDefault="00BA2938" w:rsidP="00BA2938">
      <w:pPr>
        <w:spacing w:after="0" w:line="240" w:lineRule="auto"/>
        <w:rPr>
          <w:rFonts w:ascii="Titillium Web" w:hAnsi="Titillium Web"/>
        </w:rPr>
      </w:pPr>
    </w:p>
    <w:p w14:paraId="00000023"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color w:val="000000"/>
          <w:sz w:val="20"/>
          <w:szCs w:val="20"/>
        </w:rPr>
      </w:pPr>
      <w:r w:rsidRPr="00BA2938">
        <w:rPr>
          <w:rFonts w:ascii="Titillium Web" w:hAnsi="Titillium Web"/>
          <w:b/>
          <w:color w:val="000000"/>
          <w:sz w:val="20"/>
          <w:szCs w:val="20"/>
        </w:rPr>
        <w:t>Risks associated with Equity and Equity Related Instruments:</w:t>
      </w:r>
    </w:p>
    <w:p w14:paraId="0000002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Investments in equity and equity related instruments involve a degree of risk, both company specific and market risks and thus investors should not invest in the Scheme unless they can afford to take the risk of losing their investment.</w:t>
      </w:r>
    </w:p>
    <w:p w14:paraId="00000025" w14:textId="77777777" w:rsidR="00546EC1" w:rsidRPr="00BA2938" w:rsidRDefault="00546EC1" w:rsidP="00BA2938">
      <w:pPr>
        <w:spacing w:after="0" w:line="240" w:lineRule="auto"/>
        <w:jc w:val="both"/>
        <w:rPr>
          <w:rFonts w:ascii="Titillium Web" w:hAnsi="Titillium Web"/>
          <w:sz w:val="20"/>
          <w:szCs w:val="20"/>
        </w:rPr>
      </w:pPr>
    </w:p>
    <w:p w14:paraId="0000002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will invest in equity and equity related securities diversified over various sectors.  Thus, any price fluctuation for these securities may adversely affect the NAV of the units issued under the Scheme. The same may also lead to out-performance or under-performance of the scheme against Nifty 50 which is the benchmark index for the scheme.</w:t>
      </w:r>
    </w:p>
    <w:p w14:paraId="0000002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Equity and Equity Related Instruments by nature are volatile and prone to price fluctuations </w:t>
      </w:r>
      <w:proofErr w:type="gramStart"/>
      <w:r w:rsidRPr="00BA2938">
        <w:rPr>
          <w:rFonts w:ascii="Titillium Web" w:hAnsi="Titillium Web"/>
          <w:sz w:val="20"/>
          <w:szCs w:val="20"/>
        </w:rPr>
        <w:t>on a daily basis</w:t>
      </w:r>
      <w:proofErr w:type="gramEnd"/>
      <w:r w:rsidRPr="00BA2938">
        <w:rPr>
          <w:rFonts w:ascii="Titillium Web" w:hAnsi="Titillium Web"/>
          <w:sz w:val="20"/>
          <w:szCs w:val="20"/>
        </w:rPr>
        <w:t xml:space="preserve"> due to macro and micro economic factors. The value of Equity and Equity Related Instruments may fluctuate due to factors affecting the securities markets such as volume and volatility in the capital markets, interest rates, currency exchange rates, changes in law/policies of the Government, taxation laws, political, economic or other developments, which may have an adverse impact on individual securities, a specific sector or all sectors. Consequently, the NAV of the Units issued under the Scheme may be adversely affected.</w:t>
      </w:r>
    </w:p>
    <w:p w14:paraId="00000028" w14:textId="77777777" w:rsidR="00546EC1" w:rsidRPr="00BA2938" w:rsidRDefault="00546EC1" w:rsidP="00BA2938">
      <w:pPr>
        <w:spacing w:after="0" w:line="240" w:lineRule="auto"/>
        <w:jc w:val="both"/>
        <w:rPr>
          <w:rFonts w:ascii="Titillium Web" w:hAnsi="Titillium Web"/>
          <w:sz w:val="20"/>
          <w:szCs w:val="20"/>
        </w:rPr>
      </w:pPr>
    </w:p>
    <w:p w14:paraId="0000002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Equity and Equity Related Instruments listed on the stock exchange carry lower liquidity risk; </w:t>
      </w:r>
      <w:proofErr w:type="gramStart"/>
      <w:r w:rsidRPr="00BA2938">
        <w:rPr>
          <w:rFonts w:ascii="Titillium Web" w:hAnsi="Titillium Web"/>
          <w:sz w:val="20"/>
          <w:szCs w:val="20"/>
        </w:rPr>
        <w:t>however</w:t>
      </w:r>
      <w:proofErr w:type="gramEnd"/>
      <w:r w:rsidRPr="00BA2938">
        <w:rPr>
          <w:rFonts w:ascii="Titillium Web" w:hAnsi="Titillium Web"/>
          <w:sz w:val="20"/>
          <w:szCs w:val="20"/>
        </w:rPr>
        <w:t xml:space="preserve"> the Scheme’s ability to sell these investments is limited by the overall trading volume on the stock exchanges. In certain cases, settlement periods may be extended significantly by unforeseen circumstances. The inability of the Scheme to make intended securities purchases due to settlement problems could cause the Scheme to miss certain investment opportunities. Similarly, the inability to sell securities held in the Scheme's portfolio may result, at times, in potential losses to the Scheme, should there be a subsequent decline in the value of securities held in the Scheme's portfolio.</w:t>
      </w:r>
    </w:p>
    <w:p w14:paraId="0000002A" w14:textId="77777777" w:rsidR="00546EC1" w:rsidRPr="00BA2938" w:rsidRDefault="00546EC1" w:rsidP="00BA2938">
      <w:pPr>
        <w:spacing w:after="0" w:line="240" w:lineRule="auto"/>
        <w:jc w:val="both"/>
        <w:rPr>
          <w:rFonts w:ascii="Titillium Web" w:hAnsi="Titillium Web"/>
          <w:sz w:val="20"/>
          <w:szCs w:val="20"/>
        </w:rPr>
      </w:pPr>
    </w:p>
    <w:p w14:paraId="0000002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Scheme may invest in securities which are not listed on the stock exchanges. These securities may be illiquid in nature and carry a higher amount of liquidity risk, in comparison to securities that are listed on the stock exchanges or offer other exit options to the investor. The liquidity and valuation of the Scheme's investments due to its holdings of unlisted securities may be affected if they </w:t>
      </w:r>
      <w:proofErr w:type="gramStart"/>
      <w:r w:rsidRPr="00BA2938">
        <w:rPr>
          <w:rFonts w:ascii="Titillium Web" w:hAnsi="Titillium Web"/>
          <w:sz w:val="20"/>
          <w:szCs w:val="20"/>
        </w:rPr>
        <w:t>have to</w:t>
      </w:r>
      <w:proofErr w:type="gramEnd"/>
      <w:r w:rsidRPr="00BA2938">
        <w:rPr>
          <w:rFonts w:ascii="Titillium Web" w:hAnsi="Titillium Web"/>
          <w:sz w:val="20"/>
          <w:szCs w:val="20"/>
        </w:rPr>
        <w:t xml:space="preserve"> be sold prior to the target date of disinvestment.</w:t>
      </w:r>
    </w:p>
    <w:p w14:paraId="0000002C" w14:textId="77777777" w:rsidR="00546EC1" w:rsidRPr="00BA2938" w:rsidRDefault="00546EC1" w:rsidP="00BA2938">
      <w:pPr>
        <w:spacing w:after="0" w:line="240" w:lineRule="auto"/>
        <w:jc w:val="both"/>
        <w:rPr>
          <w:rFonts w:ascii="Titillium Web" w:hAnsi="Titillium Web"/>
          <w:sz w:val="20"/>
          <w:szCs w:val="20"/>
        </w:rPr>
      </w:pPr>
    </w:p>
    <w:p w14:paraId="0000002D"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Risks of Total Return </w:t>
      </w:r>
    </w:p>
    <w:p w14:paraId="0000002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Dividends are assumed to be reinvested into the Nifty 50 Index after the ex-dividend date of the constituents. </w:t>
      </w:r>
      <w:proofErr w:type="gramStart"/>
      <w:r w:rsidRPr="00BA2938">
        <w:rPr>
          <w:rFonts w:ascii="Titillium Web" w:hAnsi="Titillium Web"/>
          <w:sz w:val="20"/>
          <w:szCs w:val="20"/>
        </w:rPr>
        <w:t>However</w:t>
      </w:r>
      <w:proofErr w:type="gramEnd"/>
      <w:r w:rsidRPr="00BA2938">
        <w:rPr>
          <w:rFonts w:ascii="Titillium Web" w:hAnsi="Titillium Web"/>
          <w:sz w:val="20"/>
          <w:szCs w:val="20"/>
        </w:rPr>
        <w:t xml:space="preserve"> in practice, the dividend is received with a lag. This can lead to some tracking error.</w:t>
      </w:r>
    </w:p>
    <w:p w14:paraId="0000002F" w14:textId="77777777" w:rsidR="00546EC1" w:rsidRPr="00BA2938" w:rsidRDefault="00546EC1" w:rsidP="00BA2938">
      <w:pPr>
        <w:spacing w:after="0" w:line="240" w:lineRule="auto"/>
        <w:jc w:val="both"/>
        <w:rPr>
          <w:rFonts w:ascii="Titillium Web" w:hAnsi="Titillium Web"/>
          <w:sz w:val="20"/>
          <w:szCs w:val="20"/>
        </w:rPr>
      </w:pPr>
    </w:p>
    <w:p w14:paraId="00000030"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Index Fund Risk</w:t>
      </w:r>
    </w:p>
    <w:p w14:paraId="0000003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lastRenderedPageBreak/>
        <w:t>The Scheme being an index scheme follows a passive investment technique and shall only invest in Securities comprising one selected index as per investment objective of the Scheme. The Fund Manager would invest in the Securities comprising the underlying index irrespective of the market conditions. If the Securities market declines, the value of the investment held by the Scheme shall decrease.</w:t>
      </w:r>
    </w:p>
    <w:p w14:paraId="00000032" w14:textId="77777777" w:rsidR="00546EC1" w:rsidRPr="00BA2938" w:rsidRDefault="00546EC1" w:rsidP="00BA2938">
      <w:pPr>
        <w:spacing w:after="0" w:line="240" w:lineRule="auto"/>
        <w:jc w:val="both"/>
        <w:rPr>
          <w:rFonts w:ascii="Titillium Web" w:hAnsi="Titillium Web"/>
          <w:sz w:val="20"/>
          <w:szCs w:val="20"/>
        </w:rPr>
      </w:pPr>
    </w:p>
    <w:p w14:paraId="00000033"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Passive Investments </w:t>
      </w:r>
    </w:p>
    <w:p w14:paraId="0000003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is not actively managed. Since the Scheme is linked to index, it may be affected by a general decline in the Indian markets relating to its underlying index. The Scheme as per its investment objective invests in Securities which are constituents of its underlying index regardless of their investment merit. The AMC does not attempt to individually select stocks or to take defensive positions in declining markets.</w:t>
      </w:r>
    </w:p>
    <w:p w14:paraId="00000035" w14:textId="77777777" w:rsidR="00546EC1" w:rsidRPr="00BA2938" w:rsidRDefault="00546EC1" w:rsidP="00BA2938">
      <w:pPr>
        <w:spacing w:after="0" w:line="240" w:lineRule="auto"/>
        <w:jc w:val="both"/>
        <w:rPr>
          <w:rFonts w:ascii="Titillium Web" w:hAnsi="Titillium Web"/>
          <w:b/>
          <w:sz w:val="20"/>
          <w:szCs w:val="20"/>
        </w:rPr>
      </w:pPr>
    </w:p>
    <w:p w14:paraId="00000036"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Trading through mutual fund trading platforms of BSE and/ or NSE </w:t>
      </w:r>
    </w:p>
    <w:p w14:paraId="0000003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In respect of transaction in Units of the Scheme through BSE and/ or NSE, allotment and redemption of Units on any Business Day will depend upon the order processing/settlement by BSE and/ or NSE and their respective clearing corporations on which the Mutual Fund has no control.</w:t>
      </w:r>
    </w:p>
    <w:p w14:paraId="00000038" w14:textId="77777777" w:rsidR="00546EC1" w:rsidRPr="00BA2938" w:rsidRDefault="00546EC1" w:rsidP="00BA2938">
      <w:pPr>
        <w:spacing w:after="0" w:line="240" w:lineRule="auto"/>
        <w:jc w:val="both"/>
        <w:rPr>
          <w:rFonts w:ascii="Titillium Web" w:hAnsi="Titillium Web"/>
          <w:sz w:val="20"/>
          <w:szCs w:val="20"/>
        </w:rPr>
      </w:pPr>
    </w:p>
    <w:p w14:paraId="00000039"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color w:val="000000"/>
          <w:sz w:val="20"/>
          <w:szCs w:val="20"/>
        </w:rPr>
      </w:pPr>
      <w:r w:rsidRPr="00BA2938">
        <w:rPr>
          <w:rFonts w:ascii="Titillium Web" w:hAnsi="Titillium Web"/>
          <w:b/>
          <w:color w:val="000000"/>
          <w:sz w:val="20"/>
          <w:szCs w:val="20"/>
        </w:rPr>
        <w:t>Risks associated with Fixed Income securities:</w:t>
      </w:r>
    </w:p>
    <w:p w14:paraId="0000003A" w14:textId="77777777" w:rsidR="00546EC1" w:rsidRPr="00BA2938" w:rsidRDefault="00546EC1" w:rsidP="00BA2938">
      <w:pPr>
        <w:spacing w:after="0" w:line="240" w:lineRule="auto"/>
        <w:jc w:val="both"/>
        <w:rPr>
          <w:rFonts w:ascii="Titillium Web" w:hAnsi="Titillium Web"/>
          <w:sz w:val="20"/>
          <w:szCs w:val="20"/>
        </w:rPr>
      </w:pPr>
    </w:p>
    <w:p w14:paraId="0000003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following are the risks associated with investment in Fixed Income securities:</w:t>
      </w:r>
    </w:p>
    <w:p w14:paraId="0000003C" w14:textId="77777777" w:rsidR="00546EC1" w:rsidRPr="00BA2938" w:rsidRDefault="00546EC1" w:rsidP="00BA2938">
      <w:pPr>
        <w:spacing w:after="0" w:line="240" w:lineRule="auto"/>
        <w:jc w:val="both"/>
        <w:rPr>
          <w:rFonts w:ascii="Titillium Web" w:hAnsi="Titillium Web"/>
          <w:sz w:val="20"/>
          <w:szCs w:val="20"/>
        </w:rPr>
      </w:pPr>
    </w:p>
    <w:p w14:paraId="0000003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Interest-Rate Risk:</w:t>
      </w:r>
      <w:r w:rsidRPr="00BA2938">
        <w:rPr>
          <w:rFonts w:ascii="Titillium Web" w:hAnsi="Titillium Web"/>
          <w:sz w:val="20"/>
          <w:szCs w:val="20"/>
        </w:rPr>
        <w:t xml:space="preserve"> Fixed income securities such as government bonds, corporate bonds, Money Market Instruments and Derivatives run price-risk or interest-rate risk. Generally, when interest rates rise, prices of existing fixed income securities fall and when interest rates drop, such prices increase. The extent of fall or rise in the prices depends upon the coupon and maturity of the security. It also depends upon the level at which the security is being traded.</w:t>
      </w:r>
    </w:p>
    <w:p w14:paraId="0000003E" w14:textId="77777777" w:rsidR="00546EC1" w:rsidRPr="00BA2938" w:rsidRDefault="00546EC1" w:rsidP="00BA2938">
      <w:pPr>
        <w:spacing w:after="0" w:line="240" w:lineRule="auto"/>
        <w:jc w:val="both"/>
        <w:rPr>
          <w:rFonts w:ascii="Titillium Web" w:hAnsi="Titillium Web"/>
          <w:sz w:val="20"/>
          <w:szCs w:val="20"/>
        </w:rPr>
      </w:pPr>
    </w:p>
    <w:p w14:paraId="0000003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Re-investment Risk: </w:t>
      </w:r>
      <w:r w:rsidRPr="00BA2938">
        <w:rPr>
          <w:rFonts w:ascii="Titillium Web" w:hAnsi="Titillium Web"/>
          <w:sz w:val="20"/>
          <w:szCs w:val="20"/>
        </w:rPr>
        <w:t>Investments in fixed income securities carry re-investment risk as interest rates prevailing on the coupon payment or maturity dates may differ from the original coupon of the bond.</w:t>
      </w:r>
    </w:p>
    <w:p w14:paraId="00000040" w14:textId="77777777" w:rsidR="00546EC1" w:rsidRPr="00BA2938" w:rsidRDefault="00546EC1" w:rsidP="00BA2938">
      <w:pPr>
        <w:spacing w:after="0" w:line="240" w:lineRule="auto"/>
        <w:jc w:val="both"/>
        <w:rPr>
          <w:rFonts w:ascii="Titillium Web" w:hAnsi="Titillium Web"/>
          <w:sz w:val="20"/>
          <w:szCs w:val="20"/>
        </w:rPr>
      </w:pPr>
    </w:p>
    <w:p w14:paraId="0000004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Basis Risk</w:t>
      </w:r>
      <w:r w:rsidRPr="00BA2938">
        <w:rPr>
          <w:rFonts w:ascii="Titillium Web" w:hAnsi="Titillium Web"/>
          <w:sz w:val="20"/>
          <w:szCs w:val="20"/>
        </w:rPr>
        <w:t>: The underlying benchmark of a floating rate security or a swap might become less active or may cease to exist and thus may not be able to capture the exact interest rate movements, leading to loss of value of the portfolio.</w:t>
      </w:r>
    </w:p>
    <w:p w14:paraId="00000042" w14:textId="77777777" w:rsidR="00546EC1" w:rsidRPr="00BA2938" w:rsidRDefault="00546EC1" w:rsidP="00BA2938">
      <w:pPr>
        <w:spacing w:after="0" w:line="240" w:lineRule="auto"/>
        <w:jc w:val="both"/>
        <w:rPr>
          <w:rFonts w:ascii="Titillium Web" w:hAnsi="Titillium Web"/>
          <w:sz w:val="20"/>
          <w:szCs w:val="20"/>
        </w:rPr>
      </w:pPr>
    </w:p>
    <w:p w14:paraId="0000004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Spread Risk: </w:t>
      </w:r>
      <w:r w:rsidRPr="00BA2938">
        <w:rPr>
          <w:rFonts w:ascii="Titillium Web" w:hAnsi="Titillium Web"/>
          <w:sz w:val="20"/>
          <w:szCs w:val="20"/>
        </w:rPr>
        <w:t xml:space="preserve">In a floating rate </w:t>
      </w:r>
      <w:proofErr w:type="gramStart"/>
      <w:r w:rsidRPr="00BA2938">
        <w:rPr>
          <w:rFonts w:ascii="Titillium Web" w:hAnsi="Titillium Web"/>
          <w:sz w:val="20"/>
          <w:szCs w:val="20"/>
        </w:rPr>
        <w:t>security</w:t>
      </w:r>
      <w:proofErr w:type="gramEnd"/>
      <w:r w:rsidRPr="00BA2938">
        <w:rPr>
          <w:rFonts w:ascii="Titillium Web" w:hAnsi="Titillium Web"/>
          <w:sz w:val="20"/>
          <w:szCs w:val="20"/>
        </w:rPr>
        <w:t xml:space="preserve"> the coupon is expressed in terms of a spread or mark up over the benchmark rate. In the life of the security this spread may move adversely leading to loss in value of the portfolio. The yield of the underlying benchmark might not change, but the spread of the security over the underlying benchmark might increase leading to loss in value of the security.</w:t>
      </w:r>
    </w:p>
    <w:p w14:paraId="00000044" w14:textId="77777777" w:rsidR="00546EC1" w:rsidRPr="00BA2938" w:rsidRDefault="00546EC1" w:rsidP="00BA2938">
      <w:pPr>
        <w:spacing w:after="0" w:line="240" w:lineRule="auto"/>
        <w:jc w:val="both"/>
        <w:rPr>
          <w:rFonts w:ascii="Titillium Web" w:hAnsi="Titillium Web"/>
          <w:sz w:val="20"/>
          <w:szCs w:val="20"/>
        </w:rPr>
      </w:pPr>
    </w:p>
    <w:p w14:paraId="0000004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w:t>
      </w:r>
      <w:r w:rsidRPr="00BA2938">
        <w:rPr>
          <w:rFonts w:ascii="Titillium Web" w:hAnsi="Titillium Web"/>
          <w:sz w:val="20"/>
          <w:szCs w:val="20"/>
        </w:rPr>
        <w:t xml:space="preserve">The liquidity of a bond may change, depending on market conditions leading to changes in the liquidity premium attached to the price of the bond. At the time of selling the security, the security can become illiquid, leading to loss in value of the portfolio. </w:t>
      </w:r>
    </w:p>
    <w:p w14:paraId="00000046" w14:textId="77777777" w:rsidR="00546EC1" w:rsidRPr="00BA2938" w:rsidRDefault="00546EC1" w:rsidP="00BA2938">
      <w:pPr>
        <w:spacing w:after="0" w:line="240" w:lineRule="auto"/>
        <w:jc w:val="both"/>
        <w:rPr>
          <w:rFonts w:ascii="Titillium Web" w:hAnsi="Titillium Web"/>
          <w:sz w:val="20"/>
          <w:szCs w:val="20"/>
        </w:rPr>
      </w:pPr>
    </w:p>
    <w:p w14:paraId="0000004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Credit Risk: </w:t>
      </w:r>
      <w:r w:rsidRPr="00BA2938">
        <w:rPr>
          <w:rFonts w:ascii="Titillium Web" w:hAnsi="Titillium Web"/>
          <w:sz w:val="20"/>
          <w:szCs w:val="20"/>
        </w:rPr>
        <w:t xml:space="preserve">This is the risk associated with the issuer of a debenture/bond or a Money Market Instrument defaulting on coupon payments or in paying back the principal amount on maturity. Even when there is no default, the price of a security may change with expected changes in the credit rating of the issuer. It is to be noted here that a Government Security is a sovereign security and is the safest. Corporate bonds carry a higher amount of credit risk than Government Securities. Within corporate bonds also there are different levels of </w:t>
      </w:r>
      <w:proofErr w:type="gramStart"/>
      <w:r w:rsidRPr="00BA2938">
        <w:rPr>
          <w:rFonts w:ascii="Titillium Web" w:hAnsi="Titillium Web"/>
          <w:sz w:val="20"/>
          <w:szCs w:val="20"/>
        </w:rPr>
        <w:t>safety</w:t>
      </w:r>
      <w:proofErr w:type="gramEnd"/>
      <w:r w:rsidRPr="00BA2938">
        <w:rPr>
          <w:rFonts w:ascii="Titillium Web" w:hAnsi="Titillium Web"/>
          <w:sz w:val="20"/>
          <w:szCs w:val="20"/>
        </w:rPr>
        <w:t xml:space="preserve"> and a bond rated higher by a particular rating agency is safer than a bond rated lower by the same rating agency.</w:t>
      </w:r>
    </w:p>
    <w:p w14:paraId="00000048" w14:textId="77777777" w:rsidR="00546EC1" w:rsidRPr="00BA2938" w:rsidRDefault="00546EC1" w:rsidP="00BA2938">
      <w:pPr>
        <w:spacing w:after="0" w:line="240" w:lineRule="auto"/>
        <w:jc w:val="both"/>
        <w:rPr>
          <w:rFonts w:ascii="Titillium Web" w:hAnsi="Titillium Web"/>
          <w:b/>
          <w:sz w:val="20"/>
          <w:szCs w:val="20"/>
        </w:rPr>
      </w:pPr>
    </w:p>
    <w:p w14:paraId="0000004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on account of unlisted securities: </w:t>
      </w:r>
      <w:r w:rsidRPr="00BA2938">
        <w:rPr>
          <w:rFonts w:ascii="Titillium Web" w:hAnsi="Titillium Web"/>
          <w:sz w:val="20"/>
          <w:szCs w:val="20"/>
        </w:rPr>
        <w:t xml:space="preserve">The liquidity and valuation of the Scheme investments due to their holdings of unlisted securities may be affected if they </w:t>
      </w:r>
      <w:proofErr w:type="gramStart"/>
      <w:r w:rsidRPr="00BA2938">
        <w:rPr>
          <w:rFonts w:ascii="Titillium Web" w:hAnsi="Titillium Web"/>
          <w:sz w:val="20"/>
          <w:szCs w:val="20"/>
        </w:rPr>
        <w:t>have to</w:t>
      </w:r>
      <w:proofErr w:type="gramEnd"/>
      <w:r w:rsidRPr="00BA2938">
        <w:rPr>
          <w:rFonts w:ascii="Titillium Web" w:hAnsi="Titillium Web"/>
          <w:sz w:val="20"/>
          <w:szCs w:val="20"/>
        </w:rPr>
        <w:t xml:space="preserve"> be sold prior to their target date of divestment. The unlisted security can go down in value before the divestment date and selling of these securities before the divestment date can lead to losses in the portfolio.</w:t>
      </w:r>
    </w:p>
    <w:p w14:paraId="0000004A" w14:textId="77777777" w:rsidR="00546EC1" w:rsidRPr="00BA2938" w:rsidRDefault="00546EC1" w:rsidP="00BA2938">
      <w:pPr>
        <w:spacing w:after="0" w:line="240" w:lineRule="auto"/>
        <w:jc w:val="both"/>
        <w:rPr>
          <w:rFonts w:ascii="Titillium Web" w:hAnsi="Titillium Web"/>
          <w:sz w:val="20"/>
          <w:szCs w:val="20"/>
        </w:rPr>
      </w:pPr>
    </w:p>
    <w:p w14:paraId="0000004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Settlement Risk: </w:t>
      </w:r>
      <w:r w:rsidRPr="00BA2938">
        <w:rPr>
          <w:rFonts w:ascii="Titillium Web" w:hAnsi="Titillium Web"/>
          <w:sz w:val="20"/>
          <w:szCs w:val="20"/>
        </w:rPr>
        <w:t>Fixed income securities run the risk of settlement which can adversely affect the ability of the fund house to swiftly execute trading strategies which can lead to adverse movements in NAV.</w:t>
      </w:r>
    </w:p>
    <w:p w14:paraId="0000004C" w14:textId="77777777" w:rsidR="00546EC1" w:rsidRPr="00BA2938" w:rsidRDefault="00546EC1" w:rsidP="00BA2938">
      <w:pPr>
        <w:spacing w:after="0" w:line="240" w:lineRule="auto"/>
        <w:jc w:val="both"/>
        <w:rPr>
          <w:rFonts w:ascii="Titillium Web" w:hAnsi="Titillium Web"/>
          <w:sz w:val="20"/>
          <w:szCs w:val="20"/>
        </w:rPr>
      </w:pPr>
    </w:p>
    <w:p w14:paraId="0000004D"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color w:val="000000"/>
          <w:sz w:val="20"/>
          <w:szCs w:val="20"/>
        </w:rPr>
      </w:pPr>
      <w:r w:rsidRPr="00BA2938">
        <w:rPr>
          <w:rFonts w:ascii="Titillium Web" w:hAnsi="Titillium Web"/>
          <w:b/>
          <w:color w:val="000000"/>
          <w:sz w:val="20"/>
          <w:szCs w:val="20"/>
        </w:rPr>
        <w:t xml:space="preserve">Risks associated with investing in Tri-Party Repos Segments </w:t>
      </w:r>
    </w:p>
    <w:p w14:paraId="0000004E" w14:textId="77777777" w:rsidR="00546EC1" w:rsidRPr="00BA2938" w:rsidRDefault="00546EC1" w:rsidP="00BA2938">
      <w:pPr>
        <w:spacing w:after="0" w:line="240" w:lineRule="auto"/>
        <w:jc w:val="both"/>
        <w:rPr>
          <w:rFonts w:ascii="Titillium Web" w:hAnsi="Titillium Web"/>
          <w:b/>
          <w:sz w:val="20"/>
          <w:szCs w:val="20"/>
        </w:rPr>
      </w:pPr>
    </w:p>
    <w:p w14:paraId="0000004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mutual fund is a member of securities and Tri-Party Repos segments of the Clearing Corporation of India (CCIL). All transactions of the mutual fund in government securities and in Tri-Party Repos segments are settled centrally through the infrastructure and settlement systems provided by CCIL; </w:t>
      </w:r>
      <w:proofErr w:type="gramStart"/>
      <w:r w:rsidRPr="00BA2938">
        <w:rPr>
          <w:rFonts w:ascii="Titillium Web" w:hAnsi="Titillium Web"/>
          <w:sz w:val="20"/>
          <w:szCs w:val="20"/>
        </w:rPr>
        <w:t>thus</w:t>
      </w:r>
      <w:proofErr w:type="gramEnd"/>
      <w:r w:rsidRPr="00BA2938">
        <w:rPr>
          <w:rFonts w:ascii="Titillium Web" w:hAnsi="Titillium Web"/>
          <w:sz w:val="20"/>
          <w:szCs w:val="20"/>
        </w:rPr>
        <w:t xml:space="preserve"> reducing the settlement and counterparty risks considerably for transactions in the said segments. The members are required to contribute an amount as communicated by CCIL from time to time to the default fund maintained by CCIL as a part of the default waterfall (a loss mitigating measure of CCIL in case of default by any member in settling transactions routed through CCIL). The mutual fund is exposed to the extent of its contribution to the default fund of CCIL at any given point in time. In the event that the default waterfall is </w:t>
      </w:r>
      <w:proofErr w:type="gramStart"/>
      <w:r w:rsidRPr="00BA2938">
        <w:rPr>
          <w:rFonts w:ascii="Titillium Web" w:hAnsi="Titillium Web"/>
          <w:sz w:val="20"/>
          <w:szCs w:val="20"/>
        </w:rPr>
        <w:t>triggered</w:t>
      </w:r>
      <w:proofErr w:type="gramEnd"/>
      <w:r w:rsidRPr="00BA2938">
        <w:rPr>
          <w:rFonts w:ascii="Titillium Web" w:hAnsi="Titillium Web"/>
          <w:sz w:val="20"/>
          <w:szCs w:val="20"/>
        </w:rPr>
        <w:t xml:space="preserve"> and the contribution of the mutual fund is called upon to absorb settlement/default losses of another member by CCIL, the scheme may lose an amount equivalent to its contribution to the default fund allocated to the scheme on a pro-rata basis.</w:t>
      </w:r>
    </w:p>
    <w:p w14:paraId="00000050" w14:textId="77777777" w:rsidR="00546EC1" w:rsidRPr="00BA2938" w:rsidRDefault="00546EC1" w:rsidP="00BA2938">
      <w:pPr>
        <w:spacing w:after="0" w:line="240" w:lineRule="auto"/>
        <w:jc w:val="both"/>
        <w:rPr>
          <w:rFonts w:ascii="Titillium Web" w:hAnsi="Titillium Web"/>
          <w:sz w:val="20"/>
          <w:szCs w:val="20"/>
        </w:rPr>
      </w:pPr>
    </w:p>
    <w:p w14:paraId="00000051"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Tracking Error Risk </w:t>
      </w:r>
    </w:p>
    <w:p w14:paraId="00000052"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Fund Manager would not be able to invest the entire corpus exactly in the same proportion as in the underlying index due to certain factors such as the fees and expenses of the Scheme, corporate actions, cash balance and changes to the underlying index and regulatory restrictions, lack of liquidity which may result in Tracking Error. Hence it may affect AMC’s ability to achieve close correlation with the underlying index of the Scheme. The Scheme’s returns may therefore deviate from its underlying index. "Tracking Error" is defined as the standard deviation of the difference between daily returns of the underlying index and the NAV of the Scheme. The Fund Manager would monitor the Tracking Error of the Scheme on an ongoing basis and would seek to minimize the Tracking Error to the maximum extent possible. There can be no assurance or guarantee that the Scheme will achieve any </w:t>
      </w:r>
      <w:proofErr w:type="gramStart"/>
      <w:r w:rsidRPr="00BA2938">
        <w:rPr>
          <w:rFonts w:ascii="Titillium Web" w:hAnsi="Titillium Web"/>
          <w:sz w:val="20"/>
          <w:szCs w:val="20"/>
        </w:rPr>
        <w:t>particular level</w:t>
      </w:r>
      <w:proofErr w:type="gramEnd"/>
      <w:r w:rsidRPr="00BA2938">
        <w:rPr>
          <w:rFonts w:ascii="Titillium Web" w:hAnsi="Titillium Web"/>
          <w:sz w:val="20"/>
          <w:szCs w:val="20"/>
        </w:rPr>
        <w:t xml:space="preserve"> of Tracking Error relative to performance of the underlying Index.</w:t>
      </w:r>
    </w:p>
    <w:p w14:paraId="00000053" w14:textId="77777777" w:rsidR="00546EC1" w:rsidRPr="00BA2938" w:rsidRDefault="00546EC1" w:rsidP="00BA2938">
      <w:pPr>
        <w:spacing w:after="0" w:line="240" w:lineRule="auto"/>
        <w:jc w:val="both"/>
        <w:rPr>
          <w:rFonts w:ascii="Titillium Web" w:hAnsi="Titillium Web"/>
          <w:sz w:val="20"/>
          <w:szCs w:val="20"/>
        </w:rPr>
      </w:pPr>
    </w:p>
    <w:p w14:paraId="00000054"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color w:val="000000"/>
          <w:sz w:val="20"/>
          <w:szCs w:val="20"/>
        </w:rPr>
      </w:pPr>
      <w:r w:rsidRPr="00BA2938">
        <w:rPr>
          <w:rFonts w:ascii="Titillium Web" w:hAnsi="Titillium Web"/>
          <w:b/>
          <w:color w:val="000000"/>
          <w:sz w:val="20"/>
          <w:szCs w:val="20"/>
        </w:rPr>
        <w:t xml:space="preserve">Risk Factors relating to Portfolio Rebalancing </w:t>
      </w:r>
    </w:p>
    <w:p w14:paraId="00000055" w14:textId="77777777" w:rsidR="00546EC1" w:rsidRPr="00BA2938" w:rsidRDefault="00000000" w:rsidP="00BA2938">
      <w:pPr>
        <w:spacing w:after="0" w:line="240" w:lineRule="auto"/>
        <w:jc w:val="both"/>
        <w:rPr>
          <w:rFonts w:ascii="Titillium Web" w:hAnsi="Titillium Web"/>
          <w:sz w:val="20"/>
          <w:szCs w:val="20"/>
        </w:rPr>
      </w:pPr>
      <w:proofErr w:type="gramStart"/>
      <w:r w:rsidRPr="00BA2938">
        <w:rPr>
          <w:rFonts w:ascii="Titillium Web" w:hAnsi="Titillium Web"/>
          <w:sz w:val="20"/>
          <w:szCs w:val="20"/>
        </w:rPr>
        <w:lastRenderedPageBreak/>
        <w:t>In the event that</w:t>
      </w:r>
      <w:proofErr w:type="gramEnd"/>
      <w:r w:rsidRPr="00BA2938">
        <w:rPr>
          <w:rFonts w:ascii="Titillium Web" w:hAnsi="Titillium Web"/>
          <w:sz w:val="20"/>
          <w:szCs w:val="20"/>
        </w:rPr>
        <w:t xml:space="preserve"> the asset allocation of the Scheme deviates from the ranges as provided in the asset allocation table in this SID, then the Fund Manager will rebalance the portfolio of the Scheme to the position indicated in the asset allocation table. However, if market conditions do not permit the Fund Manager to rebalance the portfolio of the Scheme beyond 7 </w:t>
      </w:r>
      <w:proofErr w:type="gramStart"/>
      <w:r w:rsidRPr="00BA2938">
        <w:rPr>
          <w:rFonts w:ascii="Titillium Web" w:hAnsi="Titillium Web"/>
          <w:sz w:val="20"/>
          <w:szCs w:val="20"/>
        </w:rPr>
        <w:t>days</w:t>
      </w:r>
      <w:proofErr w:type="gramEnd"/>
      <w:r w:rsidRPr="00BA2938">
        <w:rPr>
          <w:rFonts w:ascii="Titillium Web" w:hAnsi="Titillium Web"/>
          <w:sz w:val="20"/>
          <w:szCs w:val="20"/>
        </w:rPr>
        <w:t xml:space="preserve"> then the AMC would notify the Board of the Trustee Company and the Investment Committee of the AMC with appropriate justifications.</w:t>
      </w:r>
    </w:p>
    <w:p w14:paraId="00000056" w14:textId="77777777" w:rsidR="00546EC1" w:rsidRPr="00BA2938" w:rsidRDefault="00546EC1" w:rsidP="00BA2938">
      <w:pPr>
        <w:spacing w:after="0" w:line="240" w:lineRule="auto"/>
        <w:jc w:val="both"/>
        <w:rPr>
          <w:rFonts w:ascii="Titillium Web" w:hAnsi="Titillium Web"/>
          <w:sz w:val="20"/>
          <w:szCs w:val="20"/>
        </w:rPr>
      </w:pPr>
    </w:p>
    <w:p w14:paraId="00000057"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color w:val="000000"/>
          <w:sz w:val="20"/>
          <w:szCs w:val="20"/>
        </w:rPr>
      </w:pPr>
      <w:r w:rsidRPr="00BA2938">
        <w:rPr>
          <w:rFonts w:ascii="Titillium Web" w:hAnsi="Titillium Web"/>
          <w:b/>
          <w:color w:val="000000"/>
          <w:sz w:val="20"/>
          <w:szCs w:val="20"/>
        </w:rPr>
        <w:t xml:space="preserve">Risks associated with Derivatives Transactions </w:t>
      </w:r>
    </w:p>
    <w:p w14:paraId="00000058" w14:textId="77777777" w:rsidR="00546EC1" w:rsidRPr="00BA2938" w:rsidRDefault="00546EC1" w:rsidP="00BA2938">
      <w:pPr>
        <w:tabs>
          <w:tab w:val="left" w:pos="900"/>
        </w:tabs>
        <w:spacing w:after="0" w:line="240" w:lineRule="auto"/>
        <w:jc w:val="both"/>
        <w:rPr>
          <w:rFonts w:ascii="Titillium Web" w:hAnsi="Titillium Web"/>
          <w:b/>
          <w:sz w:val="20"/>
          <w:szCs w:val="20"/>
        </w:rPr>
      </w:pPr>
    </w:p>
    <w:p w14:paraId="00000059" w14:textId="77777777" w:rsidR="00546EC1" w:rsidRPr="00BA2938" w:rsidRDefault="00000000" w:rsidP="00BA2938">
      <w:pPr>
        <w:tabs>
          <w:tab w:val="left" w:pos="900"/>
        </w:tabs>
        <w:spacing w:after="0" w:line="240" w:lineRule="auto"/>
        <w:jc w:val="both"/>
        <w:rPr>
          <w:rFonts w:ascii="Titillium Web" w:hAnsi="Titillium Web"/>
          <w:b/>
          <w:sz w:val="20"/>
          <w:szCs w:val="20"/>
        </w:rPr>
      </w:pPr>
      <w:r w:rsidRPr="00BA2938">
        <w:rPr>
          <w:rFonts w:ascii="Titillium Web" w:hAnsi="Titillium Web"/>
          <w:b/>
          <w:sz w:val="20"/>
          <w:szCs w:val="20"/>
        </w:rPr>
        <w:t xml:space="preserve">Systematic Risk: </w:t>
      </w:r>
      <w:r w:rsidRPr="00BA2938">
        <w:rPr>
          <w:rFonts w:ascii="Titillium Web" w:hAnsi="Titillium Web"/>
          <w:sz w:val="20"/>
          <w:szCs w:val="20"/>
        </w:rPr>
        <w:t>Systematic Risk is the risk associated with the entire market. Unlike unsystematic risk, it is not linked to a specific security or sector. Systematic risk is a market risk which can be due to macro-economic factors, news events, etc.</w:t>
      </w:r>
    </w:p>
    <w:p w14:paraId="0000005A" w14:textId="77777777" w:rsidR="00546EC1" w:rsidRPr="00BA2938" w:rsidRDefault="00546EC1" w:rsidP="00BA2938">
      <w:pPr>
        <w:tabs>
          <w:tab w:val="left" w:pos="900"/>
        </w:tabs>
        <w:spacing w:after="0" w:line="240" w:lineRule="auto"/>
        <w:jc w:val="both"/>
        <w:rPr>
          <w:rFonts w:ascii="Titillium Web" w:hAnsi="Titillium Web"/>
          <w:b/>
          <w:sz w:val="20"/>
          <w:szCs w:val="20"/>
        </w:rPr>
      </w:pPr>
    </w:p>
    <w:p w14:paraId="0000005B" w14:textId="77777777" w:rsidR="00546EC1" w:rsidRPr="00BA2938" w:rsidRDefault="00000000" w:rsidP="00BA2938">
      <w:pPr>
        <w:tabs>
          <w:tab w:val="left" w:pos="900"/>
        </w:tabs>
        <w:spacing w:after="0" w:line="240" w:lineRule="auto"/>
        <w:jc w:val="both"/>
        <w:rPr>
          <w:rFonts w:ascii="Titillium Web" w:hAnsi="Titillium Web"/>
          <w:sz w:val="20"/>
          <w:szCs w:val="20"/>
        </w:rPr>
      </w:pPr>
      <w:r w:rsidRPr="00BA2938">
        <w:rPr>
          <w:rFonts w:ascii="Titillium Web" w:hAnsi="Titillium Web"/>
          <w:b/>
          <w:sz w:val="20"/>
          <w:szCs w:val="20"/>
        </w:rPr>
        <w:t xml:space="preserve">Mark to Market Risk: </w:t>
      </w:r>
      <w:r w:rsidRPr="00BA2938">
        <w:rPr>
          <w:rFonts w:ascii="Titillium Web" w:hAnsi="Titillium Web"/>
          <w:sz w:val="20"/>
          <w:szCs w:val="20"/>
        </w:rPr>
        <w:t xml:space="preserve">This risk is on account of </w:t>
      </w:r>
      <w:proofErr w:type="gramStart"/>
      <w:r w:rsidRPr="00BA2938">
        <w:rPr>
          <w:rFonts w:ascii="Titillium Web" w:hAnsi="Titillium Web"/>
          <w:sz w:val="20"/>
          <w:szCs w:val="20"/>
        </w:rPr>
        <w:t>day to day</w:t>
      </w:r>
      <w:proofErr w:type="gramEnd"/>
      <w:r w:rsidRPr="00BA2938">
        <w:rPr>
          <w:rFonts w:ascii="Titillium Web" w:hAnsi="Titillium Web"/>
          <w:sz w:val="20"/>
          <w:szCs w:val="20"/>
        </w:rPr>
        <w:t xml:space="preserve"> fluctuations in the underlying Security and its derivative instrument, which can adversely impact the portfolio.</w:t>
      </w:r>
    </w:p>
    <w:p w14:paraId="0000005C" w14:textId="77777777" w:rsidR="00546EC1" w:rsidRPr="00BA2938" w:rsidRDefault="00000000" w:rsidP="00BA2938">
      <w:pPr>
        <w:tabs>
          <w:tab w:val="left" w:pos="900"/>
        </w:tabs>
        <w:spacing w:after="0" w:line="240" w:lineRule="auto"/>
        <w:jc w:val="both"/>
        <w:rPr>
          <w:rFonts w:ascii="Titillium Web" w:hAnsi="Titillium Web"/>
          <w:b/>
          <w:sz w:val="20"/>
          <w:szCs w:val="20"/>
        </w:rPr>
      </w:pPr>
      <w:r w:rsidRPr="00BA2938">
        <w:rPr>
          <w:rFonts w:ascii="Titillium Web" w:hAnsi="Titillium Web"/>
          <w:b/>
          <w:sz w:val="20"/>
          <w:szCs w:val="20"/>
        </w:rPr>
        <w:tab/>
      </w:r>
    </w:p>
    <w:p w14:paraId="0000005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Credit Risk: </w:t>
      </w:r>
      <w:r w:rsidRPr="00BA2938">
        <w:rPr>
          <w:rFonts w:ascii="Titillium Web" w:hAnsi="Titillium Web"/>
          <w:sz w:val="20"/>
          <w:szCs w:val="20"/>
        </w:rPr>
        <w:t>The credit risk is the risk that the counter party will default in its obligations and is generally small as in a Derivative transaction there is generally no exchange of the principal amount.</w:t>
      </w:r>
    </w:p>
    <w:p w14:paraId="0000005E" w14:textId="77777777" w:rsidR="00546EC1" w:rsidRPr="00BA2938" w:rsidRDefault="00546EC1" w:rsidP="00BA2938">
      <w:pPr>
        <w:spacing w:after="0" w:line="240" w:lineRule="auto"/>
        <w:jc w:val="both"/>
        <w:rPr>
          <w:rFonts w:ascii="Titillium Web" w:hAnsi="Titillium Web"/>
          <w:sz w:val="20"/>
          <w:szCs w:val="20"/>
        </w:rPr>
      </w:pPr>
    </w:p>
    <w:p w14:paraId="0000005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Interest rate risk</w:t>
      </w:r>
      <w:r w:rsidRPr="00BA2938">
        <w:rPr>
          <w:rFonts w:ascii="Titillium Web" w:hAnsi="Titillium Web"/>
          <w:sz w:val="20"/>
          <w:szCs w:val="20"/>
        </w:rPr>
        <w:t>: Derivatives carry the risk of adverse changes in the price due to change in interest rates.</w:t>
      </w:r>
    </w:p>
    <w:p w14:paraId="00000060" w14:textId="77777777" w:rsidR="00546EC1" w:rsidRPr="00BA2938" w:rsidRDefault="00546EC1" w:rsidP="00BA2938">
      <w:pPr>
        <w:spacing w:after="0" w:line="240" w:lineRule="auto"/>
        <w:jc w:val="both"/>
        <w:rPr>
          <w:rFonts w:ascii="Titillium Web" w:hAnsi="Titillium Web"/>
          <w:sz w:val="20"/>
          <w:szCs w:val="20"/>
        </w:rPr>
      </w:pPr>
    </w:p>
    <w:p w14:paraId="0000006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Basis Risk: </w:t>
      </w:r>
      <w:r w:rsidRPr="00BA2938">
        <w:rPr>
          <w:rFonts w:ascii="Titillium Web" w:hAnsi="Titillium Web"/>
          <w:sz w:val="20"/>
          <w:szCs w:val="20"/>
        </w:rPr>
        <w:t>When a security is hedged using a Derivative, the change in price of the security and the change in price of the Derivative may not be fully correlated leading to basis risk in the portfolio.</w:t>
      </w:r>
    </w:p>
    <w:p w14:paraId="00000062" w14:textId="77777777" w:rsidR="00546EC1" w:rsidRPr="00BA2938" w:rsidRDefault="00546EC1" w:rsidP="00BA2938">
      <w:pPr>
        <w:spacing w:after="0" w:line="240" w:lineRule="auto"/>
        <w:jc w:val="both"/>
        <w:rPr>
          <w:rFonts w:ascii="Titillium Web" w:hAnsi="Titillium Web"/>
          <w:sz w:val="20"/>
          <w:szCs w:val="20"/>
        </w:rPr>
      </w:pPr>
    </w:p>
    <w:p w14:paraId="0000006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w:t>
      </w:r>
      <w:r w:rsidRPr="00BA2938">
        <w:rPr>
          <w:rFonts w:ascii="Titillium Web" w:hAnsi="Titillium Web"/>
          <w:sz w:val="20"/>
          <w:szCs w:val="20"/>
        </w:rPr>
        <w:t>During the life of the Derivative, the benchmark might become Illiquid and might not be fully capturing the interest rate changes in the market, or the selling, unwinding prices might not reflect the underlying assets, rates and indices, leading to loss of value of the portfolio.</w:t>
      </w:r>
    </w:p>
    <w:p w14:paraId="00000064" w14:textId="77777777" w:rsidR="00546EC1" w:rsidRPr="00BA2938" w:rsidRDefault="00546EC1" w:rsidP="00BA2938">
      <w:pPr>
        <w:spacing w:after="0" w:line="240" w:lineRule="auto"/>
        <w:jc w:val="both"/>
        <w:rPr>
          <w:rFonts w:ascii="Titillium Web" w:hAnsi="Titillium Web"/>
          <w:sz w:val="20"/>
          <w:szCs w:val="20"/>
        </w:rPr>
      </w:pPr>
    </w:p>
    <w:p w14:paraId="0000006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Model Risk: </w:t>
      </w:r>
      <w:r w:rsidRPr="00BA2938">
        <w:rPr>
          <w:rFonts w:ascii="Titillium Web" w:hAnsi="Titillium Web"/>
          <w:sz w:val="20"/>
          <w:szCs w:val="20"/>
        </w:rPr>
        <w:t>The risk of mis–pricing or improper valuation of Derivatives.</w:t>
      </w:r>
    </w:p>
    <w:p w14:paraId="00000066" w14:textId="77777777" w:rsidR="00546EC1" w:rsidRPr="00BA2938" w:rsidRDefault="00546EC1" w:rsidP="00BA2938">
      <w:pPr>
        <w:spacing w:after="0" w:line="240" w:lineRule="auto"/>
        <w:jc w:val="both"/>
        <w:rPr>
          <w:rFonts w:ascii="Titillium Web" w:hAnsi="Titillium Web"/>
          <w:sz w:val="20"/>
          <w:szCs w:val="20"/>
        </w:rPr>
      </w:pPr>
    </w:p>
    <w:p w14:paraId="0000006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Trade Execution: </w:t>
      </w:r>
      <w:r w:rsidRPr="00BA2938">
        <w:rPr>
          <w:rFonts w:ascii="Titillium Web" w:hAnsi="Titillium Web"/>
          <w:sz w:val="20"/>
          <w:szCs w:val="20"/>
        </w:rPr>
        <w:t>Risk where the final execution price is different from the screen price, leading to dilution in the spreads.</w:t>
      </w:r>
    </w:p>
    <w:p w14:paraId="00000068" w14:textId="77777777" w:rsidR="00546EC1" w:rsidRPr="00BA2938" w:rsidRDefault="00546EC1" w:rsidP="00BA2938">
      <w:pPr>
        <w:spacing w:after="0" w:line="240" w:lineRule="auto"/>
        <w:jc w:val="both"/>
        <w:rPr>
          <w:rFonts w:ascii="Titillium Web" w:hAnsi="Titillium Web"/>
          <w:sz w:val="20"/>
          <w:szCs w:val="20"/>
        </w:rPr>
      </w:pPr>
    </w:p>
    <w:p w14:paraId="0000006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Systemic Risk: </w:t>
      </w:r>
      <w:r w:rsidRPr="00BA2938">
        <w:rPr>
          <w:rFonts w:ascii="Titillium Web" w:hAnsi="Titillium Web"/>
          <w:sz w:val="20"/>
          <w:szCs w:val="20"/>
        </w:rPr>
        <w:t>For Derivatives, especially OTC ones the failure of one Counter Party can put the whole system at risk and the whole system can come to a halt.</w:t>
      </w:r>
    </w:p>
    <w:p w14:paraId="0000006A" w14:textId="77777777" w:rsidR="00546EC1" w:rsidRPr="00BA2938" w:rsidRDefault="00546EC1" w:rsidP="00BA2938">
      <w:pPr>
        <w:spacing w:after="0" w:line="240" w:lineRule="auto"/>
        <w:jc w:val="both"/>
        <w:rPr>
          <w:rFonts w:ascii="Titillium Web" w:hAnsi="Titillium Web"/>
          <w:sz w:val="20"/>
          <w:szCs w:val="20"/>
        </w:rPr>
      </w:pPr>
    </w:p>
    <w:p w14:paraId="0000006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The scheme may invest in various derivative products in accordance with and to the extent permitted under the regulations from time to time.</w:t>
      </w:r>
    </w:p>
    <w:p w14:paraId="0000006C" w14:textId="77777777" w:rsidR="00546EC1" w:rsidRPr="00BA2938" w:rsidRDefault="00546EC1" w:rsidP="00BA2938">
      <w:pPr>
        <w:spacing w:after="0" w:line="240" w:lineRule="auto"/>
        <w:jc w:val="both"/>
        <w:rPr>
          <w:rFonts w:ascii="Titillium Web" w:hAnsi="Titillium Web"/>
          <w:sz w:val="20"/>
          <w:szCs w:val="20"/>
        </w:rPr>
      </w:pPr>
    </w:p>
    <w:p w14:paraId="0000006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Derivatives are financial contracts of pre-determined fixed duration, like stock Futures /options and index futures and options, whose values are derived from the value of an underlying primary financial instrument such as: Equities, Interest rates, Exchange rates.</w:t>
      </w:r>
    </w:p>
    <w:p w14:paraId="0000006E" w14:textId="77777777" w:rsidR="00546EC1" w:rsidRPr="00BA2938" w:rsidRDefault="00546EC1" w:rsidP="00BA2938">
      <w:pPr>
        <w:spacing w:after="0" w:line="240" w:lineRule="auto"/>
        <w:jc w:val="both"/>
        <w:rPr>
          <w:rFonts w:ascii="Titillium Web" w:hAnsi="Titillium Web"/>
          <w:sz w:val="20"/>
          <w:szCs w:val="20"/>
        </w:rPr>
      </w:pPr>
    </w:p>
    <w:p w14:paraId="0000006F"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Derivative products are specialized instruments that require investment techniques and risk analysis which are different from those associated with stocks and other traditional securities. </w:t>
      </w:r>
    </w:p>
    <w:p w14:paraId="00000070" w14:textId="77777777" w:rsidR="00546EC1" w:rsidRPr="00BA2938" w:rsidRDefault="00546EC1" w:rsidP="00BA2938">
      <w:pPr>
        <w:spacing w:after="0" w:line="240" w:lineRule="auto"/>
        <w:jc w:val="both"/>
        <w:rPr>
          <w:rFonts w:ascii="Titillium Web" w:hAnsi="Titillium Web"/>
          <w:sz w:val="20"/>
          <w:szCs w:val="20"/>
        </w:rPr>
      </w:pPr>
    </w:p>
    <w:p w14:paraId="0000007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Derivatives are highly leveraged instruments and a small price fluctuation in the underlying can have a larger impact on its value. Thus, its use can lead to disproportionate gains or losses to the portfolio. Execution of derivatives instruments depends on the ability of the fund manager to identify good opportunities. Identification and execution of the strategies to be pursued by the fund manager involve uncertainty and decision of fund manager may not always be profitable. No assurance can be given that the fund manager will be able to identify or execute such strategies.</w:t>
      </w:r>
    </w:p>
    <w:p w14:paraId="00000072" w14:textId="77777777" w:rsidR="00546EC1" w:rsidRPr="00BA2938" w:rsidRDefault="00546EC1" w:rsidP="00BA2938">
      <w:pPr>
        <w:spacing w:after="0" w:line="240" w:lineRule="auto"/>
        <w:jc w:val="both"/>
        <w:rPr>
          <w:rFonts w:ascii="Titillium Web" w:hAnsi="Titillium Web"/>
          <w:sz w:val="20"/>
          <w:szCs w:val="20"/>
        </w:rPr>
      </w:pPr>
    </w:p>
    <w:p w14:paraId="0000007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highlight w:val="white"/>
        </w:rPr>
        <w:t>The risks associated with the use of Derivatives are different from or possibly greater than, the risks associated with investing directly in securities and other traditional investments.</w:t>
      </w:r>
    </w:p>
    <w:p w14:paraId="00000074" w14:textId="77777777" w:rsidR="00546EC1" w:rsidRPr="00BA2938" w:rsidRDefault="00546EC1" w:rsidP="00BA2938">
      <w:pPr>
        <w:spacing w:after="0" w:line="240" w:lineRule="auto"/>
        <w:jc w:val="both"/>
        <w:rPr>
          <w:rFonts w:ascii="Titillium Web" w:hAnsi="Titillium Web"/>
          <w:sz w:val="20"/>
          <w:szCs w:val="20"/>
        </w:rPr>
      </w:pPr>
    </w:p>
    <w:p w14:paraId="00000075"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color w:val="000000"/>
          <w:sz w:val="20"/>
          <w:szCs w:val="20"/>
        </w:rPr>
      </w:pPr>
      <w:r w:rsidRPr="00BA2938">
        <w:rPr>
          <w:rFonts w:ascii="Titillium Web" w:hAnsi="Titillium Web"/>
          <w:b/>
          <w:color w:val="000000"/>
          <w:sz w:val="20"/>
          <w:szCs w:val="20"/>
        </w:rPr>
        <w:t xml:space="preserve">Risk associated with Short Selling &amp; Securities Lending </w:t>
      </w:r>
    </w:p>
    <w:p w14:paraId="0000007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Securities Lending is a lending of securities through an approved intermediary to a borrower under an agreement for a specified period with the condition that the borrower will return equivalent securities of the same type or class at the end of the specified period along with the corporate benefits accruing on the securities borrowed. There are risks inherent in securities lending, including the risk of failure of the other party, in this case the approved intermediary to comply with the terms of the agreement. Such failure can result in a possible loss of rights to the collateral, the inability of the approved intermediary to return the securities deposited by the lender and the possible loss of corporate benefits accruing thereon.</w:t>
      </w:r>
    </w:p>
    <w:p w14:paraId="00000077" w14:textId="77777777" w:rsidR="00546EC1" w:rsidRPr="00BA2938" w:rsidRDefault="00546EC1" w:rsidP="00BA2938">
      <w:pPr>
        <w:spacing w:after="0" w:line="240" w:lineRule="auto"/>
        <w:jc w:val="both"/>
        <w:rPr>
          <w:rFonts w:ascii="Titillium Web" w:hAnsi="Titillium Web"/>
          <w:sz w:val="20"/>
          <w:szCs w:val="20"/>
        </w:rPr>
      </w:pPr>
    </w:p>
    <w:p w14:paraId="00000078" w14:textId="77777777" w:rsidR="00546EC1" w:rsidRPr="00BA2938" w:rsidRDefault="00000000" w:rsidP="00BA2938">
      <w:pPr>
        <w:spacing w:after="0" w:line="240" w:lineRule="auto"/>
        <w:jc w:val="both"/>
        <w:rPr>
          <w:rFonts w:ascii="Titillium Web" w:hAnsi="Titillium Web"/>
          <w:sz w:val="20"/>
          <w:szCs w:val="20"/>
        </w:rPr>
      </w:pPr>
      <w:proofErr w:type="gramStart"/>
      <w:r w:rsidRPr="00BA2938">
        <w:rPr>
          <w:rFonts w:ascii="Titillium Web" w:hAnsi="Titillium Web"/>
          <w:sz w:val="20"/>
          <w:szCs w:val="20"/>
        </w:rPr>
        <w:t>Short-selling</w:t>
      </w:r>
      <w:proofErr w:type="gramEnd"/>
      <w:r w:rsidRPr="00BA2938">
        <w:rPr>
          <w:rFonts w:ascii="Titillium Web" w:hAnsi="Titillium Web"/>
          <w:sz w:val="20"/>
          <w:szCs w:val="20"/>
        </w:rPr>
        <w:t xml:space="preserve"> is the sale of shares or securities that the seller does not own at the time of trading.  Instead, he borrows it from someone who already owns it. Later, the short seller buys back the stock/security he shorted and returns the stock/security to the lender to close out the loan. The inherent risks are Counterparty risk and liquidity risk of the stock/security being borrowed. The security being short sold might be illiquid or become illiquid and covering of the security might occur at a much higher price level than anticipated, leading to losses.</w:t>
      </w:r>
    </w:p>
    <w:p w14:paraId="00000079" w14:textId="77777777" w:rsidR="00546EC1" w:rsidRPr="00BA2938" w:rsidRDefault="00546EC1" w:rsidP="00BA2938">
      <w:pPr>
        <w:spacing w:after="0" w:line="240" w:lineRule="auto"/>
        <w:jc w:val="both"/>
        <w:rPr>
          <w:rFonts w:ascii="Titillium Web" w:hAnsi="Titillium Web"/>
          <w:sz w:val="20"/>
          <w:szCs w:val="20"/>
        </w:rPr>
      </w:pPr>
    </w:p>
    <w:p w14:paraId="0000007A"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color w:val="000000"/>
          <w:sz w:val="20"/>
          <w:szCs w:val="20"/>
        </w:rPr>
      </w:pPr>
      <w:r w:rsidRPr="00BA2938">
        <w:rPr>
          <w:rFonts w:ascii="Titillium Web" w:hAnsi="Titillium Web"/>
          <w:b/>
          <w:color w:val="000000"/>
          <w:sz w:val="20"/>
          <w:szCs w:val="20"/>
        </w:rPr>
        <w:t>Risk factor associated with segregated portfolio</w:t>
      </w:r>
    </w:p>
    <w:p w14:paraId="0000007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Investor holding units of segregated portfolio may </w:t>
      </w:r>
      <w:proofErr w:type="gramStart"/>
      <w:r w:rsidRPr="00BA2938">
        <w:rPr>
          <w:rFonts w:ascii="Titillium Web" w:hAnsi="Titillium Web"/>
          <w:sz w:val="20"/>
          <w:szCs w:val="20"/>
        </w:rPr>
        <w:t>not</w:t>
      </w:r>
      <w:proofErr w:type="gramEnd"/>
      <w:r w:rsidRPr="00BA2938">
        <w:rPr>
          <w:rFonts w:ascii="Titillium Web" w:hAnsi="Titillium Web"/>
          <w:sz w:val="20"/>
          <w:szCs w:val="20"/>
        </w:rPr>
        <w:t xml:space="preserve"> able to liquidate their holding till the time realisable value is recovered. </w:t>
      </w:r>
    </w:p>
    <w:p w14:paraId="0000007C" w14:textId="77777777" w:rsidR="00546EC1" w:rsidRPr="00BA2938" w:rsidRDefault="00546EC1" w:rsidP="00BA2938">
      <w:pPr>
        <w:spacing w:after="0" w:line="240" w:lineRule="auto"/>
        <w:jc w:val="both"/>
        <w:rPr>
          <w:rFonts w:ascii="Titillium Web" w:hAnsi="Titillium Web"/>
          <w:sz w:val="20"/>
          <w:szCs w:val="20"/>
        </w:rPr>
      </w:pPr>
    </w:p>
    <w:p w14:paraId="0000007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Security comprising of segregated portfolio may realise lower value or may realise zero value. </w:t>
      </w:r>
    </w:p>
    <w:p w14:paraId="0000007E" w14:textId="77777777" w:rsidR="00546EC1" w:rsidRPr="00BA2938" w:rsidRDefault="00546EC1" w:rsidP="00BA2938">
      <w:pPr>
        <w:spacing w:after="0" w:line="240" w:lineRule="auto"/>
        <w:jc w:val="both"/>
        <w:rPr>
          <w:rFonts w:ascii="Titillium Web" w:hAnsi="Titillium Web"/>
          <w:sz w:val="20"/>
          <w:szCs w:val="20"/>
        </w:rPr>
      </w:pPr>
    </w:p>
    <w:p w14:paraId="0000007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Listing units of segregated portfolio in </w:t>
      </w:r>
      <w:proofErr w:type="spellStart"/>
      <w:r w:rsidRPr="00BA2938">
        <w:rPr>
          <w:rFonts w:ascii="Titillium Web" w:hAnsi="Titillium Web"/>
          <w:sz w:val="20"/>
          <w:szCs w:val="20"/>
        </w:rPr>
        <w:t>recognised</w:t>
      </w:r>
      <w:proofErr w:type="spellEnd"/>
      <w:r w:rsidRPr="00BA2938">
        <w:rPr>
          <w:rFonts w:ascii="Titillium Web" w:hAnsi="Titillium Web"/>
          <w:sz w:val="20"/>
          <w:szCs w:val="20"/>
        </w:rPr>
        <w:t xml:space="preserve"> stock exchange does not necessarily guarantee their liquidity. There may not be active trading of units in the stock market. Further trading price of units on the stock market may be significantly lower than the prevailing NAV.   </w:t>
      </w:r>
    </w:p>
    <w:p w14:paraId="00000080" w14:textId="77777777" w:rsidR="00546EC1" w:rsidRPr="00BA2938" w:rsidRDefault="00546EC1" w:rsidP="00BA2938">
      <w:pPr>
        <w:spacing w:after="0" w:line="240" w:lineRule="auto"/>
        <w:jc w:val="both"/>
        <w:rPr>
          <w:rFonts w:ascii="Titillium Web" w:hAnsi="Titillium Web"/>
          <w:sz w:val="20"/>
          <w:szCs w:val="20"/>
        </w:rPr>
      </w:pPr>
    </w:p>
    <w:p w14:paraId="00000081"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color w:val="000000"/>
          <w:sz w:val="20"/>
          <w:szCs w:val="20"/>
        </w:rPr>
      </w:pPr>
      <w:r w:rsidRPr="00BA2938">
        <w:rPr>
          <w:rFonts w:ascii="Titillium Web" w:hAnsi="Titillium Web"/>
          <w:b/>
          <w:color w:val="000000"/>
          <w:sz w:val="20"/>
          <w:szCs w:val="20"/>
        </w:rPr>
        <w:t>Risks factors associated with investments in Repo Transactions in Corporate Bond:</w:t>
      </w:r>
    </w:p>
    <w:p w14:paraId="00000082"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lastRenderedPageBreak/>
        <w:t xml:space="preserve">In repo transactions, securities are sold with the seller agreeing to buy them back at later date. The repurchase price should be greater than the original sale price, the difference effectively representing interest. A repo is economically </w:t>
      </w:r>
      <w:proofErr w:type="gramStart"/>
      <w:r w:rsidRPr="00BA2938">
        <w:rPr>
          <w:rFonts w:ascii="Titillium Web" w:hAnsi="Titillium Web"/>
          <w:sz w:val="20"/>
          <w:szCs w:val="20"/>
        </w:rPr>
        <w:t>similar to</w:t>
      </w:r>
      <w:proofErr w:type="gramEnd"/>
      <w:r w:rsidRPr="00BA2938">
        <w:rPr>
          <w:rFonts w:ascii="Titillium Web" w:hAnsi="Titillium Web"/>
          <w:sz w:val="20"/>
          <w:szCs w:val="20"/>
        </w:rPr>
        <w:t xml:space="preserve"> a secured loan, with the buyer receiving corporate debt securities as collateral to protect against default. The Scheme may invest in repo of corporate debt securities which are subject to the following risks:</w:t>
      </w:r>
    </w:p>
    <w:p w14:paraId="00000083" w14:textId="77777777" w:rsidR="00546EC1" w:rsidRPr="00BA2938" w:rsidRDefault="00546EC1" w:rsidP="00BA2938">
      <w:pPr>
        <w:spacing w:after="0" w:line="240" w:lineRule="auto"/>
        <w:jc w:val="both"/>
        <w:rPr>
          <w:rFonts w:ascii="Titillium Web" w:hAnsi="Titillium Web"/>
          <w:sz w:val="20"/>
          <w:szCs w:val="20"/>
        </w:rPr>
      </w:pPr>
    </w:p>
    <w:p w14:paraId="0000008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Counter party Risk: </w:t>
      </w:r>
      <w:r w:rsidRPr="00BA2938">
        <w:rPr>
          <w:rFonts w:ascii="Titillium Web" w:hAnsi="Titillium Web"/>
          <w:sz w:val="20"/>
          <w:szCs w:val="20"/>
        </w:rPr>
        <w:t xml:space="preserve">This refers to the inability of the seller to meet the obligation to buy back securities at the contracted price on the contracted date. The Investment Manager will endeavour to manage counterparty risk by dealing only with counterparties, having strong credit profiles, approved by our credit risk analysis team. The exposure to each counterparty will be within the overall approved credit limits. Also, the counterparty risk is to an extent mitigated by taking collateral equivalent in value to the transaction after knocking off a minimum haircut on the intrinsic value of the collateral. In the event of default by the repo counterparty, the scheme shall have recourse to the corporate debt securities. </w:t>
      </w:r>
    </w:p>
    <w:p w14:paraId="00000085" w14:textId="77777777" w:rsidR="00546EC1" w:rsidRPr="00BA2938" w:rsidRDefault="00546EC1" w:rsidP="00BA2938">
      <w:pPr>
        <w:spacing w:after="0" w:line="240" w:lineRule="auto"/>
        <w:jc w:val="both"/>
        <w:rPr>
          <w:rFonts w:ascii="Titillium Web" w:hAnsi="Titillium Web"/>
          <w:sz w:val="20"/>
          <w:szCs w:val="20"/>
        </w:rPr>
      </w:pPr>
    </w:p>
    <w:p w14:paraId="0000008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Collateral Risk: </w:t>
      </w:r>
      <w:r w:rsidRPr="00BA2938">
        <w:rPr>
          <w:rFonts w:ascii="Titillium Web" w:hAnsi="Titillium Web"/>
          <w:sz w:val="20"/>
          <w:szCs w:val="20"/>
        </w:rPr>
        <w:t xml:space="preserve">Collateral risk arises when the market value of the securities is inadequate to meet the repo obligations. This risk is mitigated by restricting participation in repo transactions only in AA or equivalent and above rated money market and corporate debt securities. Any rating downgrade </w:t>
      </w:r>
      <w:proofErr w:type="gramStart"/>
      <w:r w:rsidRPr="00BA2938">
        <w:rPr>
          <w:rFonts w:ascii="Titillium Web" w:hAnsi="Titillium Web"/>
          <w:sz w:val="20"/>
          <w:szCs w:val="20"/>
        </w:rPr>
        <w:t>will</w:t>
      </w:r>
      <w:proofErr w:type="gramEnd"/>
      <w:r w:rsidRPr="00BA2938">
        <w:rPr>
          <w:rFonts w:ascii="Titillium Web" w:hAnsi="Titillium Web"/>
          <w:sz w:val="20"/>
          <w:szCs w:val="20"/>
        </w:rPr>
        <w:t xml:space="preserve"> tantamount to either an early termination of the repo agreement or a call for fresh margin to meet the minimum haircut requirement. In addition, the Investment manager may apply a higher haircut on the underlying security than mentioned above to adjust for the illiquidity and interest rate risk on the underlying instrument. The adequacy of the collateral will be monitored </w:t>
      </w:r>
      <w:proofErr w:type="gramStart"/>
      <w:r w:rsidRPr="00BA2938">
        <w:rPr>
          <w:rFonts w:ascii="Titillium Web" w:hAnsi="Titillium Web"/>
          <w:sz w:val="20"/>
          <w:szCs w:val="20"/>
        </w:rPr>
        <w:t>on a daily basis</w:t>
      </w:r>
      <w:proofErr w:type="gramEnd"/>
      <w:r w:rsidRPr="00BA2938">
        <w:rPr>
          <w:rFonts w:ascii="Titillium Web" w:hAnsi="Titillium Web"/>
          <w:sz w:val="20"/>
          <w:szCs w:val="20"/>
        </w:rPr>
        <w:t xml:space="preserve"> by considering the daily market value &amp; applying the prescribed haircut. The fund manager shall then arrange for additional collateral from the counterparty, within a period of 1 business day. If the counterparty is not able to top-up either in form of cash / collateral, it </w:t>
      </w:r>
      <w:proofErr w:type="gramStart"/>
      <w:r w:rsidRPr="00BA2938">
        <w:rPr>
          <w:rFonts w:ascii="Titillium Web" w:hAnsi="Titillium Web"/>
          <w:sz w:val="20"/>
          <w:szCs w:val="20"/>
        </w:rPr>
        <w:t>shall</w:t>
      </w:r>
      <w:proofErr w:type="gramEnd"/>
      <w:r w:rsidRPr="00BA2938">
        <w:rPr>
          <w:rFonts w:ascii="Titillium Web" w:hAnsi="Titillium Web"/>
          <w:sz w:val="20"/>
          <w:szCs w:val="20"/>
        </w:rPr>
        <w:t xml:space="preserve"> tantamount to early termination of the repo agreement.</w:t>
      </w:r>
    </w:p>
    <w:p w14:paraId="00000087" w14:textId="77777777" w:rsidR="00546EC1" w:rsidRPr="00BA2938" w:rsidRDefault="00546EC1" w:rsidP="00BA2938">
      <w:pPr>
        <w:spacing w:after="0" w:line="240" w:lineRule="auto"/>
        <w:jc w:val="both"/>
        <w:rPr>
          <w:rFonts w:ascii="Titillium Web" w:hAnsi="Titillium Web"/>
          <w:sz w:val="20"/>
          <w:szCs w:val="20"/>
        </w:rPr>
      </w:pPr>
    </w:p>
    <w:p w14:paraId="00000088" w14:textId="77777777" w:rsidR="00546EC1" w:rsidRPr="00BA2938" w:rsidRDefault="00000000" w:rsidP="00BA2938">
      <w:pPr>
        <w:pStyle w:val="Heading2"/>
        <w:spacing w:before="0" w:line="240" w:lineRule="auto"/>
        <w:jc w:val="both"/>
        <w:rPr>
          <w:rFonts w:ascii="Titillium Web" w:eastAsia="Calibri" w:hAnsi="Titillium Web" w:cs="Calibri"/>
          <w:b/>
          <w:color w:val="000000"/>
          <w:sz w:val="20"/>
          <w:szCs w:val="20"/>
        </w:rPr>
      </w:pPr>
      <w:bookmarkStart w:id="3" w:name="_heading=h.2u0s93miuejh" w:colFirst="0" w:colLast="0"/>
      <w:bookmarkEnd w:id="3"/>
      <w:r w:rsidRPr="00BA2938">
        <w:rPr>
          <w:rFonts w:ascii="Titillium Web" w:eastAsia="Calibri" w:hAnsi="Titillium Web" w:cs="Calibri"/>
          <w:b/>
          <w:color w:val="000000"/>
          <w:sz w:val="20"/>
          <w:szCs w:val="20"/>
        </w:rPr>
        <w:t>Risk mitigation strategies</w:t>
      </w:r>
    </w:p>
    <w:p w14:paraId="0000008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risk control process involves reducing risks through portfolio diversification. This diversification would help achieve the desired level of consistency in returns. The AMC aims to identify securities, which offer superior levels of yield at lower levels of risks. There would be regular rebalancing of the portfolio, </w:t>
      </w:r>
      <w:proofErr w:type="gramStart"/>
      <w:r w:rsidRPr="00BA2938">
        <w:rPr>
          <w:rFonts w:ascii="Titillium Web" w:hAnsi="Titillium Web"/>
          <w:sz w:val="20"/>
          <w:szCs w:val="20"/>
        </w:rPr>
        <w:t>taking into account</w:t>
      </w:r>
      <w:proofErr w:type="gramEnd"/>
      <w:r w:rsidRPr="00BA2938">
        <w:rPr>
          <w:rFonts w:ascii="Titillium Web" w:hAnsi="Titillium Web"/>
          <w:sz w:val="20"/>
          <w:szCs w:val="20"/>
        </w:rPr>
        <w:t xml:space="preserve"> the change in weights of stocks in the Index.</w:t>
      </w:r>
    </w:p>
    <w:p w14:paraId="0000008A" w14:textId="77777777" w:rsidR="00546EC1" w:rsidRPr="00BA2938" w:rsidRDefault="00546EC1" w:rsidP="00BA2938">
      <w:pPr>
        <w:spacing w:after="0" w:line="240" w:lineRule="auto"/>
        <w:jc w:val="both"/>
        <w:rPr>
          <w:rFonts w:ascii="Titillium Web" w:hAnsi="Titillium Web"/>
          <w:sz w:val="20"/>
          <w:szCs w:val="20"/>
        </w:rPr>
      </w:pPr>
    </w:p>
    <w:p w14:paraId="0000008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Nifty 50 Index fund being a passive investment carries lesser risk as compared to active fund management. The portfolio follows the index and therefore the level of stock concentration in the portfolio and its volatility would be the same as that of the index, subject to tracking error. </w:t>
      </w:r>
      <w:proofErr w:type="gramStart"/>
      <w:r w:rsidRPr="00BA2938">
        <w:rPr>
          <w:rFonts w:ascii="Titillium Web" w:hAnsi="Titillium Web"/>
          <w:sz w:val="20"/>
          <w:szCs w:val="20"/>
        </w:rPr>
        <w:t>Thus</w:t>
      </w:r>
      <w:proofErr w:type="gramEnd"/>
      <w:r w:rsidRPr="00BA2938">
        <w:rPr>
          <w:rFonts w:ascii="Titillium Web" w:hAnsi="Titillium Web"/>
          <w:sz w:val="20"/>
          <w:szCs w:val="20"/>
        </w:rPr>
        <w:t xml:space="preserve"> there is no additional element of volatility or stock concentration on account of fund manager decisions.</w:t>
      </w:r>
    </w:p>
    <w:p w14:paraId="0000008C" w14:textId="043AF7DB" w:rsidR="00BA2938"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While these measures are expected to </w:t>
      </w:r>
      <w:proofErr w:type="gramStart"/>
      <w:r w:rsidRPr="00BA2938">
        <w:rPr>
          <w:rFonts w:ascii="Titillium Web" w:hAnsi="Titillium Web"/>
          <w:sz w:val="20"/>
          <w:szCs w:val="20"/>
        </w:rPr>
        <w:t>mitigate the above risks to a large extent</w:t>
      </w:r>
      <w:proofErr w:type="gramEnd"/>
      <w:r w:rsidRPr="00BA2938">
        <w:rPr>
          <w:rFonts w:ascii="Titillium Web" w:hAnsi="Titillium Web"/>
          <w:sz w:val="20"/>
          <w:szCs w:val="20"/>
        </w:rPr>
        <w:t>, there can be no assurance that these risks would be completely eliminated.</w:t>
      </w:r>
    </w:p>
    <w:p w14:paraId="65434880" w14:textId="77777777" w:rsidR="00BA2938" w:rsidRPr="00BA2938" w:rsidRDefault="00BA2938">
      <w:pPr>
        <w:rPr>
          <w:rFonts w:ascii="Titillium Web" w:hAnsi="Titillium Web"/>
          <w:sz w:val="20"/>
          <w:szCs w:val="20"/>
        </w:rPr>
      </w:pPr>
      <w:r w:rsidRPr="00BA2938">
        <w:rPr>
          <w:rFonts w:ascii="Titillium Web" w:hAnsi="Titillium Web"/>
          <w:sz w:val="20"/>
          <w:szCs w:val="20"/>
        </w:rPr>
        <w:br w:type="page"/>
      </w:r>
    </w:p>
    <w:p w14:paraId="52D71F58" w14:textId="77777777" w:rsidR="00BA2938" w:rsidRPr="00BA2938" w:rsidRDefault="00BA2938" w:rsidP="00BA2938">
      <w:pPr>
        <w:spacing w:after="0" w:line="240" w:lineRule="auto"/>
        <w:jc w:val="both"/>
        <w:rPr>
          <w:rFonts w:ascii="Titillium Web" w:hAnsi="Titillium Web"/>
          <w:sz w:val="20"/>
          <w:szCs w:val="20"/>
        </w:rPr>
      </w:pPr>
    </w:p>
    <w:p w14:paraId="0000008D" w14:textId="77777777" w:rsidR="00546EC1" w:rsidRDefault="00000000" w:rsidP="00FA14F4">
      <w:pPr>
        <w:pStyle w:val="Heading1"/>
        <w:spacing w:before="0" w:line="240" w:lineRule="auto"/>
        <w:jc w:val="center"/>
        <w:rPr>
          <w:rFonts w:ascii="Titillium Web" w:eastAsia="Calibri" w:hAnsi="Titillium Web" w:cs="Calibri"/>
          <w:b/>
          <w:color w:val="000000"/>
          <w:sz w:val="28"/>
          <w:szCs w:val="28"/>
        </w:rPr>
      </w:pPr>
      <w:bookmarkStart w:id="4" w:name="_heading=h.uq8u6jusulpv" w:colFirst="0" w:colLast="0"/>
      <w:bookmarkEnd w:id="4"/>
      <w:r w:rsidRPr="00BA2938">
        <w:rPr>
          <w:rFonts w:ascii="Titillium Web" w:eastAsia="Calibri" w:hAnsi="Titillium Web" w:cs="Calibri"/>
          <w:b/>
          <w:color w:val="000000"/>
          <w:sz w:val="28"/>
          <w:szCs w:val="28"/>
        </w:rPr>
        <w:t>Navi Nifty Next 50 Index Fund</w:t>
      </w:r>
    </w:p>
    <w:p w14:paraId="78418194" w14:textId="77777777" w:rsidR="00BA2938" w:rsidRPr="00BA2938" w:rsidRDefault="00BA2938" w:rsidP="00BA2938"/>
    <w:p w14:paraId="0000008E"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Scheme Specific Risk Factors</w:t>
      </w:r>
    </w:p>
    <w:p w14:paraId="0000008F" w14:textId="77777777" w:rsidR="00546EC1" w:rsidRPr="00BA2938" w:rsidRDefault="00546EC1" w:rsidP="00BA2938">
      <w:pPr>
        <w:spacing w:after="0" w:line="240" w:lineRule="auto"/>
        <w:jc w:val="both"/>
        <w:rPr>
          <w:rFonts w:ascii="Titillium Web" w:hAnsi="Titillium Web"/>
          <w:b/>
          <w:sz w:val="20"/>
          <w:szCs w:val="20"/>
        </w:rPr>
      </w:pPr>
    </w:p>
    <w:p w14:paraId="00000090" w14:textId="77777777" w:rsidR="00546EC1" w:rsidRPr="00BA2938" w:rsidRDefault="00000000" w:rsidP="00BA2938">
      <w:pPr>
        <w:spacing w:after="0" w:line="240" w:lineRule="auto"/>
        <w:jc w:val="both"/>
        <w:rPr>
          <w:rFonts w:ascii="Titillium Web" w:hAnsi="Titillium Web"/>
          <w:b/>
          <w:sz w:val="20"/>
          <w:szCs w:val="20"/>
          <w:u w:val="single"/>
        </w:rPr>
      </w:pPr>
      <w:r w:rsidRPr="00BA2938">
        <w:rPr>
          <w:rFonts w:ascii="Titillium Web" w:hAnsi="Titillium Web"/>
          <w:b/>
          <w:sz w:val="20"/>
          <w:szCs w:val="20"/>
          <w:u w:val="single"/>
        </w:rPr>
        <w:t>Risks associated with Equity and Equity Related Instruments:</w:t>
      </w:r>
    </w:p>
    <w:p w14:paraId="00000091" w14:textId="77777777" w:rsidR="00546EC1" w:rsidRPr="00BA2938" w:rsidRDefault="00546EC1" w:rsidP="00BA2938">
      <w:pPr>
        <w:spacing w:after="0" w:line="240" w:lineRule="auto"/>
        <w:jc w:val="both"/>
        <w:rPr>
          <w:rFonts w:ascii="Titillium Web" w:hAnsi="Titillium Web"/>
          <w:b/>
          <w:sz w:val="20"/>
          <w:szCs w:val="20"/>
        </w:rPr>
      </w:pPr>
    </w:p>
    <w:p w14:paraId="00000092"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Equity and Equity Related Instruments by nature are volatile and prone to price fluctuations </w:t>
      </w:r>
      <w:proofErr w:type="gramStart"/>
      <w:r w:rsidRPr="00BA2938">
        <w:rPr>
          <w:rFonts w:ascii="Titillium Web" w:hAnsi="Titillium Web"/>
          <w:sz w:val="20"/>
          <w:szCs w:val="20"/>
        </w:rPr>
        <w:t>on a daily basis</w:t>
      </w:r>
      <w:proofErr w:type="gramEnd"/>
      <w:r w:rsidRPr="00BA2938">
        <w:rPr>
          <w:rFonts w:ascii="Titillium Web" w:hAnsi="Titillium Web"/>
          <w:sz w:val="20"/>
          <w:szCs w:val="20"/>
        </w:rPr>
        <w:t xml:space="preserve"> due to macro and micro economic factors. The value of Equity and Equity Related Instruments may fluctuate due to factors affecting the securities markets such as price volatility, volumes traded, interest rates, currency exchange rates, changes in law/policies of the Government, taxation laws, political, economic or other developments, which may have an adverse impact on individual securities, a specific sector or all sectors. Consequently, the NAV of the Units issued under the Scheme may be adversely affected.</w:t>
      </w:r>
    </w:p>
    <w:p w14:paraId="00000093" w14:textId="77777777" w:rsidR="00546EC1" w:rsidRPr="00BA2938" w:rsidRDefault="00546EC1" w:rsidP="00BA2938">
      <w:pPr>
        <w:spacing w:after="0" w:line="240" w:lineRule="auto"/>
        <w:jc w:val="both"/>
        <w:rPr>
          <w:rFonts w:ascii="Titillium Web" w:hAnsi="Titillium Web"/>
          <w:sz w:val="20"/>
          <w:szCs w:val="20"/>
        </w:rPr>
      </w:pPr>
    </w:p>
    <w:p w14:paraId="0000009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Equity and Equity Related Instruments listed on the stock exchange carry lower liquidity risk; </w:t>
      </w:r>
      <w:proofErr w:type="gramStart"/>
      <w:r w:rsidRPr="00BA2938">
        <w:rPr>
          <w:rFonts w:ascii="Titillium Web" w:hAnsi="Titillium Web"/>
          <w:sz w:val="20"/>
          <w:szCs w:val="20"/>
        </w:rPr>
        <w:t>however</w:t>
      </w:r>
      <w:proofErr w:type="gramEnd"/>
      <w:r w:rsidRPr="00BA2938">
        <w:rPr>
          <w:rFonts w:ascii="Titillium Web" w:hAnsi="Titillium Web"/>
          <w:sz w:val="20"/>
          <w:szCs w:val="20"/>
        </w:rPr>
        <w:t xml:space="preserve"> the Scheme’s ability to sell these investments is limited by the overall trading volume on the stock exchanges. In certain cases, settlement periods may be extended significantly by unforeseen circumstances. The inability of the Scheme to make intended securities purchases due to settlement problems could cause the Scheme to miss certain investment opportunities. Similarly, the inability to sell securities held in the Scheme's portfolio may result, at times, in potential losses to the Scheme, if there is a subsequent decline in the value of securities held in the Scheme's portfolio.</w:t>
      </w:r>
    </w:p>
    <w:p w14:paraId="0000009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br/>
        <w:t>Investments in equity and equity related instruments involve a degree of risk and investors should not invest in the Scheme unless they can afford to take the risk of losing their investment.</w:t>
      </w:r>
    </w:p>
    <w:p w14:paraId="00000096" w14:textId="77777777" w:rsidR="00546EC1" w:rsidRPr="00BA2938" w:rsidRDefault="00546EC1" w:rsidP="00BA2938">
      <w:pPr>
        <w:spacing w:after="0" w:line="240" w:lineRule="auto"/>
        <w:jc w:val="both"/>
        <w:rPr>
          <w:rFonts w:ascii="Titillium Web" w:hAnsi="Titillium Web"/>
          <w:b/>
          <w:sz w:val="20"/>
          <w:szCs w:val="20"/>
          <w:u w:val="single"/>
        </w:rPr>
      </w:pPr>
    </w:p>
    <w:p w14:paraId="00000097" w14:textId="77777777" w:rsidR="00546EC1" w:rsidRPr="00BA2938" w:rsidRDefault="00000000" w:rsidP="00BA2938">
      <w:pPr>
        <w:spacing w:after="0" w:line="240" w:lineRule="auto"/>
        <w:jc w:val="both"/>
        <w:rPr>
          <w:rFonts w:ascii="Titillium Web" w:hAnsi="Titillium Web"/>
          <w:b/>
          <w:sz w:val="20"/>
          <w:szCs w:val="20"/>
          <w:u w:val="single"/>
        </w:rPr>
      </w:pPr>
      <w:r w:rsidRPr="00BA2938">
        <w:rPr>
          <w:rFonts w:ascii="Titillium Web" w:hAnsi="Titillium Web"/>
          <w:b/>
          <w:sz w:val="20"/>
          <w:szCs w:val="20"/>
          <w:u w:val="single"/>
        </w:rPr>
        <w:t>Risks associated with Fixed Income Securities:</w:t>
      </w:r>
    </w:p>
    <w:p w14:paraId="00000098" w14:textId="77777777" w:rsidR="00546EC1" w:rsidRPr="00BA2938" w:rsidRDefault="00546EC1" w:rsidP="00BA2938">
      <w:pPr>
        <w:spacing w:after="0" w:line="240" w:lineRule="auto"/>
        <w:jc w:val="both"/>
        <w:rPr>
          <w:rFonts w:ascii="Titillium Web" w:hAnsi="Titillium Web"/>
          <w:sz w:val="20"/>
          <w:szCs w:val="20"/>
        </w:rPr>
      </w:pPr>
    </w:p>
    <w:p w14:paraId="0000009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Interest-Rate Risk</w:t>
      </w:r>
      <w:r w:rsidRPr="00BA2938">
        <w:rPr>
          <w:rFonts w:ascii="Titillium Web" w:hAnsi="Titillium Web"/>
          <w:sz w:val="20"/>
          <w:szCs w:val="20"/>
        </w:rPr>
        <w:t>: Fixed income securities such as government bonds, corporate bonds, Money Market Instruments and Derivatives run price-risk or interest-rate risk. Generally, when interest rates rise, prices of existing fixed income securities fall and when interest rates drop, such prices increase. The extent of fall or rise in the prices depends upon the coupon and maturity of the security. It also depends upon the yield level at which the security is being traded.</w:t>
      </w:r>
    </w:p>
    <w:p w14:paraId="0000009A" w14:textId="77777777" w:rsidR="00546EC1" w:rsidRPr="00BA2938" w:rsidRDefault="00546EC1" w:rsidP="00BA2938">
      <w:pPr>
        <w:spacing w:after="0" w:line="240" w:lineRule="auto"/>
        <w:jc w:val="both"/>
        <w:rPr>
          <w:rFonts w:ascii="Titillium Web" w:hAnsi="Titillium Web"/>
          <w:sz w:val="20"/>
          <w:szCs w:val="20"/>
        </w:rPr>
      </w:pPr>
    </w:p>
    <w:p w14:paraId="0000009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Re-investment Risk: </w:t>
      </w:r>
      <w:r w:rsidRPr="00BA2938">
        <w:rPr>
          <w:rFonts w:ascii="Titillium Web" w:hAnsi="Titillium Web"/>
          <w:sz w:val="20"/>
          <w:szCs w:val="20"/>
        </w:rPr>
        <w:t>Investments in fixed income securities carry re-investment risk as interest rates prevailing on the coupon payment or maturity dates may differ from the original coupon of the bond.</w:t>
      </w:r>
    </w:p>
    <w:p w14:paraId="0000009C" w14:textId="77777777" w:rsidR="00546EC1" w:rsidRPr="00BA2938" w:rsidRDefault="00546EC1" w:rsidP="00BA2938">
      <w:pPr>
        <w:spacing w:after="0" w:line="240" w:lineRule="auto"/>
        <w:jc w:val="both"/>
        <w:rPr>
          <w:rFonts w:ascii="Titillium Web" w:hAnsi="Titillium Web"/>
          <w:sz w:val="20"/>
          <w:szCs w:val="20"/>
        </w:rPr>
      </w:pPr>
    </w:p>
    <w:p w14:paraId="0000009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Basis Risk</w:t>
      </w:r>
      <w:r w:rsidRPr="00BA2938">
        <w:rPr>
          <w:rFonts w:ascii="Titillium Web" w:hAnsi="Titillium Web"/>
          <w:sz w:val="20"/>
          <w:szCs w:val="20"/>
        </w:rPr>
        <w:t>: The underlying benchmark of a floating rate security or a swap might become less active or may cease to exist and thus may not be able to capture the exact interest rate movements, leading to loss of value of the portfolio.</w:t>
      </w:r>
    </w:p>
    <w:p w14:paraId="0000009E" w14:textId="77777777" w:rsidR="00546EC1" w:rsidRPr="00BA2938" w:rsidRDefault="00546EC1" w:rsidP="00BA2938">
      <w:pPr>
        <w:spacing w:after="0" w:line="240" w:lineRule="auto"/>
        <w:jc w:val="both"/>
        <w:rPr>
          <w:rFonts w:ascii="Titillium Web" w:hAnsi="Titillium Web"/>
          <w:sz w:val="20"/>
          <w:szCs w:val="20"/>
        </w:rPr>
      </w:pPr>
    </w:p>
    <w:p w14:paraId="0000009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lastRenderedPageBreak/>
        <w:t xml:space="preserve">Spread Risk: </w:t>
      </w:r>
      <w:r w:rsidRPr="00BA2938">
        <w:rPr>
          <w:rFonts w:ascii="Titillium Web" w:hAnsi="Titillium Web"/>
          <w:sz w:val="20"/>
          <w:szCs w:val="20"/>
        </w:rPr>
        <w:t xml:space="preserve">In a floating rate </w:t>
      </w:r>
      <w:proofErr w:type="gramStart"/>
      <w:r w:rsidRPr="00BA2938">
        <w:rPr>
          <w:rFonts w:ascii="Titillium Web" w:hAnsi="Titillium Web"/>
          <w:sz w:val="20"/>
          <w:szCs w:val="20"/>
        </w:rPr>
        <w:t>security</w:t>
      </w:r>
      <w:proofErr w:type="gramEnd"/>
      <w:r w:rsidRPr="00BA2938">
        <w:rPr>
          <w:rFonts w:ascii="Titillium Web" w:hAnsi="Titillium Web"/>
          <w:sz w:val="20"/>
          <w:szCs w:val="20"/>
        </w:rPr>
        <w:t xml:space="preserve"> the coupon is expressed in terms of a spread or mark up over the benchmark rate. In the life of the security this spread may move adversely leading to loss in value of the portfolio. The yield of the underlying benchmark might not change, but the spread of the security over the underlying benchmark might increase leading to loss in value of the security.</w:t>
      </w:r>
    </w:p>
    <w:p w14:paraId="000000A0" w14:textId="77777777" w:rsidR="00546EC1" w:rsidRPr="00BA2938" w:rsidRDefault="00546EC1" w:rsidP="00BA2938">
      <w:pPr>
        <w:spacing w:after="0" w:line="240" w:lineRule="auto"/>
        <w:jc w:val="both"/>
        <w:rPr>
          <w:rFonts w:ascii="Titillium Web" w:hAnsi="Titillium Web"/>
          <w:sz w:val="20"/>
          <w:szCs w:val="20"/>
        </w:rPr>
      </w:pPr>
    </w:p>
    <w:p w14:paraId="000000A1"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Liquidity Risk: </w:t>
      </w:r>
      <w:r w:rsidRPr="00BA2938">
        <w:rPr>
          <w:rFonts w:ascii="Titillium Web" w:hAnsi="Titillium Web"/>
          <w:sz w:val="20"/>
          <w:szCs w:val="20"/>
        </w:rPr>
        <w:t>The liquidity of a bond may change, depending on market conditions leading to changes in the liquidity premium attached to the price of the bond. At the time of selling the security, the security can become illiquid, leading to loss in value of the portfolio.</w:t>
      </w:r>
    </w:p>
    <w:p w14:paraId="000000A2" w14:textId="77777777" w:rsidR="00546EC1" w:rsidRPr="00BA2938" w:rsidRDefault="00546EC1" w:rsidP="00BA2938">
      <w:pPr>
        <w:spacing w:after="0" w:line="240" w:lineRule="auto"/>
        <w:jc w:val="both"/>
        <w:rPr>
          <w:rFonts w:ascii="Titillium Web" w:hAnsi="Titillium Web"/>
          <w:sz w:val="20"/>
          <w:szCs w:val="20"/>
        </w:rPr>
      </w:pPr>
    </w:p>
    <w:p w14:paraId="000000A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Credit Risk: </w:t>
      </w:r>
      <w:r w:rsidRPr="00BA2938">
        <w:rPr>
          <w:rFonts w:ascii="Titillium Web" w:hAnsi="Titillium Web"/>
          <w:sz w:val="20"/>
          <w:szCs w:val="20"/>
        </w:rPr>
        <w:t xml:space="preserve">This is the risk associated with the issuer of a debenture/bond or a Money Market Instrument defaulting on coupon payments or in paying back the principal amount on maturity. Even when there is no default, the price of a security may change with expected changes in the credit rating of the issuer. It is to be noted here that a Government Security is a sovereign security and is the safest. Corporate bonds carry a higher amount of credit risk than Government Securities. Within corporate bonds also there are different levels of </w:t>
      </w:r>
      <w:proofErr w:type="gramStart"/>
      <w:r w:rsidRPr="00BA2938">
        <w:rPr>
          <w:rFonts w:ascii="Titillium Web" w:hAnsi="Titillium Web"/>
          <w:sz w:val="20"/>
          <w:szCs w:val="20"/>
        </w:rPr>
        <w:t>safety</w:t>
      </w:r>
      <w:proofErr w:type="gramEnd"/>
      <w:r w:rsidRPr="00BA2938">
        <w:rPr>
          <w:rFonts w:ascii="Titillium Web" w:hAnsi="Titillium Web"/>
          <w:sz w:val="20"/>
          <w:szCs w:val="20"/>
        </w:rPr>
        <w:t xml:space="preserve"> and a bond rated higher by a particular rating agency is safer than a bond rated lower by the same rating agency.</w:t>
      </w:r>
    </w:p>
    <w:p w14:paraId="000000A4" w14:textId="77777777" w:rsidR="00546EC1" w:rsidRPr="00BA2938" w:rsidRDefault="00546EC1" w:rsidP="00BA2938">
      <w:pPr>
        <w:spacing w:after="0" w:line="240" w:lineRule="auto"/>
        <w:jc w:val="both"/>
        <w:rPr>
          <w:rFonts w:ascii="Titillium Web" w:hAnsi="Titillium Web"/>
          <w:b/>
          <w:sz w:val="20"/>
          <w:szCs w:val="20"/>
        </w:rPr>
      </w:pPr>
    </w:p>
    <w:p w14:paraId="000000A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on account of unlisted securities: </w:t>
      </w:r>
      <w:r w:rsidRPr="00BA2938">
        <w:rPr>
          <w:rFonts w:ascii="Titillium Web" w:hAnsi="Titillium Web"/>
          <w:sz w:val="20"/>
          <w:szCs w:val="20"/>
        </w:rPr>
        <w:t xml:space="preserve">The liquidity and valuation of the Scheme investments due to their holdings of unlisted securities may be affected if they </w:t>
      </w:r>
      <w:proofErr w:type="gramStart"/>
      <w:r w:rsidRPr="00BA2938">
        <w:rPr>
          <w:rFonts w:ascii="Titillium Web" w:hAnsi="Titillium Web"/>
          <w:sz w:val="20"/>
          <w:szCs w:val="20"/>
        </w:rPr>
        <w:t>have to</w:t>
      </w:r>
      <w:proofErr w:type="gramEnd"/>
      <w:r w:rsidRPr="00BA2938">
        <w:rPr>
          <w:rFonts w:ascii="Titillium Web" w:hAnsi="Titillium Web"/>
          <w:sz w:val="20"/>
          <w:szCs w:val="20"/>
        </w:rPr>
        <w:t xml:space="preserve"> be sold prior to their target date of divestment. The unlisted security can go down in value before the divestment date and selling of these securities before the divestment date can lead to losses in the portfolio.</w:t>
      </w:r>
    </w:p>
    <w:p w14:paraId="000000A6" w14:textId="77777777" w:rsidR="00546EC1" w:rsidRPr="00BA2938" w:rsidRDefault="00546EC1" w:rsidP="00BA2938">
      <w:pPr>
        <w:spacing w:after="0" w:line="240" w:lineRule="auto"/>
        <w:jc w:val="both"/>
        <w:rPr>
          <w:rFonts w:ascii="Titillium Web" w:hAnsi="Titillium Web"/>
          <w:sz w:val="20"/>
          <w:szCs w:val="20"/>
        </w:rPr>
      </w:pPr>
    </w:p>
    <w:p w14:paraId="000000A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Settlement Risk: </w:t>
      </w:r>
      <w:r w:rsidRPr="00BA2938">
        <w:rPr>
          <w:rFonts w:ascii="Titillium Web" w:hAnsi="Titillium Web"/>
          <w:sz w:val="20"/>
          <w:szCs w:val="20"/>
        </w:rPr>
        <w:t>Fixed income securities run the risk of settlement which can adversely affect the ability of the fund house to swiftly execute trading strategies which can lead to adverse movements in NAV.</w:t>
      </w:r>
    </w:p>
    <w:p w14:paraId="000000A8" w14:textId="77777777" w:rsidR="00546EC1" w:rsidRPr="00BA2938" w:rsidRDefault="00546EC1" w:rsidP="00BA2938">
      <w:pPr>
        <w:spacing w:after="0" w:line="240" w:lineRule="auto"/>
        <w:jc w:val="both"/>
        <w:rPr>
          <w:rFonts w:ascii="Titillium Web" w:hAnsi="Titillium Web"/>
          <w:sz w:val="20"/>
          <w:szCs w:val="20"/>
        </w:rPr>
      </w:pPr>
    </w:p>
    <w:p w14:paraId="000000A9" w14:textId="77777777" w:rsidR="00546EC1" w:rsidRPr="00BA2938" w:rsidRDefault="00000000" w:rsidP="00BA2938">
      <w:pPr>
        <w:spacing w:after="0" w:line="240" w:lineRule="auto"/>
        <w:jc w:val="both"/>
        <w:rPr>
          <w:rFonts w:ascii="Titillium Web" w:hAnsi="Titillium Web"/>
          <w:b/>
          <w:sz w:val="20"/>
          <w:szCs w:val="20"/>
          <w:u w:val="single"/>
        </w:rPr>
      </w:pPr>
      <w:r w:rsidRPr="00BA2938">
        <w:rPr>
          <w:rFonts w:ascii="Titillium Web" w:hAnsi="Titillium Web"/>
          <w:b/>
          <w:sz w:val="20"/>
          <w:szCs w:val="20"/>
          <w:u w:val="single"/>
        </w:rPr>
        <w:t>Risks associated with Derivatives Transactions</w:t>
      </w:r>
    </w:p>
    <w:p w14:paraId="000000AA" w14:textId="77777777" w:rsidR="00546EC1" w:rsidRPr="00BA2938" w:rsidRDefault="00546EC1" w:rsidP="00BA2938">
      <w:pPr>
        <w:tabs>
          <w:tab w:val="left" w:pos="900"/>
        </w:tabs>
        <w:spacing w:after="0" w:line="240" w:lineRule="auto"/>
        <w:jc w:val="both"/>
        <w:rPr>
          <w:rFonts w:ascii="Titillium Web" w:hAnsi="Titillium Web"/>
          <w:b/>
          <w:sz w:val="20"/>
          <w:szCs w:val="20"/>
        </w:rPr>
      </w:pPr>
    </w:p>
    <w:p w14:paraId="000000AB" w14:textId="77777777" w:rsidR="00546EC1" w:rsidRPr="00BA2938" w:rsidRDefault="00000000" w:rsidP="00BA2938">
      <w:pPr>
        <w:tabs>
          <w:tab w:val="left" w:pos="900"/>
        </w:tabs>
        <w:spacing w:after="0" w:line="240" w:lineRule="auto"/>
        <w:jc w:val="both"/>
        <w:rPr>
          <w:rFonts w:ascii="Titillium Web" w:hAnsi="Titillium Web"/>
          <w:b/>
          <w:sz w:val="20"/>
          <w:szCs w:val="20"/>
        </w:rPr>
      </w:pPr>
      <w:r w:rsidRPr="00BA2938">
        <w:rPr>
          <w:rFonts w:ascii="Titillium Web" w:hAnsi="Titillium Web"/>
          <w:b/>
          <w:sz w:val="20"/>
          <w:szCs w:val="20"/>
        </w:rPr>
        <w:t xml:space="preserve">Systematic Risk: </w:t>
      </w:r>
      <w:r w:rsidRPr="00BA2938">
        <w:rPr>
          <w:rFonts w:ascii="Titillium Web" w:hAnsi="Titillium Web"/>
          <w:sz w:val="20"/>
          <w:szCs w:val="20"/>
        </w:rPr>
        <w:t>Systematic Risk is the risk associated with the entire market. Unlike unsystematic risk, it is not linked to a specific security or sector. Systematic risk is a market risk which can be due to macro-economic factors, news events, etc.</w:t>
      </w:r>
    </w:p>
    <w:p w14:paraId="000000AC" w14:textId="77777777" w:rsidR="00546EC1" w:rsidRPr="00BA2938" w:rsidRDefault="00546EC1" w:rsidP="00BA2938">
      <w:pPr>
        <w:tabs>
          <w:tab w:val="left" w:pos="900"/>
        </w:tabs>
        <w:spacing w:after="0" w:line="240" w:lineRule="auto"/>
        <w:jc w:val="both"/>
        <w:rPr>
          <w:rFonts w:ascii="Titillium Web" w:hAnsi="Titillium Web"/>
          <w:b/>
          <w:sz w:val="20"/>
          <w:szCs w:val="20"/>
        </w:rPr>
      </w:pPr>
    </w:p>
    <w:p w14:paraId="000000AD" w14:textId="77777777" w:rsidR="00546EC1" w:rsidRPr="00BA2938" w:rsidRDefault="00000000" w:rsidP="00BA2938">
      <w:pPr>
        <w:tabs>
          <w:tab w:val="left" w:pos="900"/>
        </w:tabs>
        <w:spacing w:after="0" w:line="240" w:lineRule="auto"/>
        <w:jc w:val="both"/>
        <w:rPr>
          <w:rFonts w:ascii="Titillium Web" w:hAnsi="Titillium Web"/>
          <w:sz w:val="20"/>
          <w:szCs w:val="20"/>
        </w:rPr>
      </w:pPr>
      <w:r w:rsidRPr="00BA2938">
        <w:rPr>
          <w:rFonts w:ascii="Titillium Web" w:hAnsi="Titillium Web"/>
          <w:b/>
          <w:sz w:val="20"/>
          <w:szCs w:val="20"/>
        </w:rPr>
        <w:t xml:space="preserve">Mark to Market Risk: </w:t>
      </w:r>
      <w:r w:rsidRPr="00BA2938">
        <w:rPr>
          <w:rFonts w:ascii="Titillium Web" w:hAnsi="Titillium Web"/>
          <w:sz w:val="20"/>
          <w:szCs w:val="20"/>
        </w:rPr>
        <w:t xml:space="preserve">This risk is on account of </w:t>
      </w:r>
      <w:proofErr w:type="gramStart"/>
      <w:r w:rsidRPr="00BA2938">
        <w:rPr>
          <w:rFonts w:ascii="Titillium Web" w:hAnsi="Titillium Web"/>
          <w:sz w:val="20"/>
          <w:szCs w:val="20"/>
        </w:rPr>
        <w:t>day to day</w:t>
      </w:r>
      <w:proofErr w:type="gramEnd"/>
      <w:r w:rsidRPr="00BA2938">
        <w:rPr>
          <w:rFonts w:ascii="Titillium Web" w:hAnsi="Titillium Web"/>
          <w:sz w:val="20"/>
          <w:szCs w:val="20"/>
        </w:rPr>
        <w:t xml:space="preserve"> fluctuations in the underlying Security and its derivative instrument, which can adversely impact the portfolio.</w:t>
      </w:r>
    </w:p>
    <w:p w14:paraId="000000AE" w14:textId="77777777" w:rsidR="00546EC1" w:rsidRPr="00BA2938" w:rsidRDefault="00000000" w:rsidP="00BA2938">
      <w:pPr>
        <w:tabs>
          <w:tab w:val="left" w:pos="900"/>
        </w:tabs>
        <w:spacing w:after="0" w:line="240" w:lineRule="auto"/>
        <w:jc w:val="both"/>
        <w:rPr>
          <w:rFonts w:ascii="Titillium Web" w:hAnsi="Titillium Web"/>
          <w:b/>
          <w:sz w:val="20"/>
          <w:szCs w:val="20"/>
        </w:rPr>
      </w:pPr>
      <w:r w:rsidRPr="00BA2938">
        <w:rPr>
          <w:rFonts w:ascii="Titillium Web" w:hAnsi="Titillium Web"/>
          <w:b/>
          <w:sz w:val="20"/>
          <w:szCs w:val="20"/>
        </w:rPr>
        <w:tab/>
      </w:r>
    </w:p>
    <w:p w14:paraId="000000A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Credit Risk: </w:t>
      </w:r>
      <w:r w:rsidRPr="00BA2938">
        <w:rPr>
          <w:rFonts w:ascii="Titillium Web" w:hAnsi="Titillium Web"/>
          <w:sz w:val="20"/>
          <w:szCs w:val="20"/>
        </w:rPr>
        <w:t>The credit risk is the risk that the counter party will default in its obligations and is generally small as in a Derivative transaction there is generally no exchange of the principal amount.</w:t>
      </w:r>
    </w:p>
    <w:p w14:paraId="000000B0" w14:textId="77777777" w:rsidR="00546EC1" w:rsidRPr="00BA2938" w:rsidRDefault="00546EC1" w:rsidP="00BA2938">
      <w:pPr>
        <w:spacing w:after="0" w:line="240" w:lineRule="auto"/>
        <w:jc w:val="both"/>
        <w:rPr>
          <w:rFonts w:ascii="Titillium Web" w:hAnsi="Titillium Web"/>
          <w:sz w:val="20"/>
          <w:szCs w:val="20"/>
        </w:rPr>
      </w:pPr>
    </w:p>
    <w:p w14:paraId="000000B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Interest rate risk</w:t>
      </w:r>
      <w:r w:rsidRPr="00BA2938">
        <w:rPr>
          <w:rFonts w:ascii="Titillium Web" w:hAnsi="Titillium Web"/>
          <w:sz w:val="20"/>
          <w:szCs w:val="20"/>
        </w:rPr>
        <w:t>: Derivatives carry the risk of adverse changes in the price due to change in interest rates.</w:t>
      </w:r>
    </w:p>
    <w:p w14:paraId="000000B2" w14:textId="77777777" w:rsidR="00546EC1" w:rsidRPr="00BA2938" w:rsidRDefault="00546EC1" w:rsidP="00BA2938">
      <w:pPr>
        <w:spacing w:after="0" w:line="240" w:lineRule="auto"/>
        <w:jc w:val="both"/>
        <w:rPr>
          <w:rFonts w:ascii="Titillium Web" w:hAnsi="Titillium Web"/>
          <w:sz w:val="20"/>
          <w:szCs w:val="20"/>
        </w:rPr>
      </w:pPr>
    </w:p>
    <w:p w14:paraId="000000B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Basis Risk: </w:t>
      </w:r>
      <w:r w:rsidRPr="00BA2938">
        <w:rPr>
          <w:rFonts w:ascii="Titillium Web" w:hAnsi="Titillium Web"/>
          <w:sz w:val="20"/>
          <w:szCs w:val="20"/>
        </w:rPr>
        <w:t>When a security is hedged using a Derivative, the change in price of the security and the change in price of the Derivative may not be fully correlated leading to basis risk in the portfolio.</w:t>
      </w:r>
    </w:p>
    <w:p w14:paraId="000000B4" w14:textId="77777777" w:rsidR="00546EC1" w:rsidRPr="00BA2938" w:rsidRDefault="00546EC1" w:rsidP="00BA2938">
      <w:pPr>
        <w:spacing w:after="0" w:line="240" w:lineRule="auto"/>
        <w:jc w:val="both"/>
        <w:rPr>
          <w:rFonts w:ascii="Titillium Web" w:hAnsi="Titillium Web"/>
          <w:sz w:val="20"/>
          <w:szCs w:val="20"/>
        </w:rPr>
      </w:pPr>
    </w:p>
    <w:p w14:paraId="000000B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lastRenderedPageBreak/>
        <w:t xml:space="preserve">Liquidity risk: </w:t>
      </w:r>
      <w:r w:rsidRPr="00BA2938">
        <w:rPr>
          <w:rFonts w:ascii="Titillium Web" w:hAnsi="Titillium Web"/>
          <w:sz w:val="20"/>
          <w:szCs w:val="20"/>
        </w:rPr>
        <w:t>During the life of the Derivative, the benchmark might become Illiquid and might not be fully capturing the interest rate changes in the market, or the selling, unwinding prices might not reflect the underlying assets, rates and indices, leading to loss of value of the portfolio.</w:t>
      </w:r>
    </w:p>
    <w:p w14:paraId="000000B6" w14:textId="77777777" w:rsidR="00546EC1" w:rsidRPr="00BA2938" w:rsidRDefault="00546EC1" w:rsidP="00BA2938">
      <w:pPr>
        <w:spacing w:after="0" w:line="240" w:lineRule="auto"/>
        <w:jc w:val="both"/>
        <w:rPr>
          <w:rFonts w:ascii="Titillium Web" w:hAnsi="Titillium Web"/>
          <w:sz w:val="20"/>
          <w:szCs w:val="20"/>
        </w:rPr>
      </w:pPr>
    </w:p>
    <w:p w14:paraId="000000B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Model Risk: </w:t>
      </w:r>
      <w:r w:rsidRPr="00BA2938">
        <w:rPr>
          <w:rFonts w:ascii="Titillium Web" w:hAnsi="Titillium Web"/>
          <w:sz w:val="20"/>
          <w:szCs w:val="20"/>
        </w:rPr>
        <w:t>The risk of mis–pricing or improper valuation of Derivatives.</w:t>
      </w:r>
    </w:p>
    <w:p w14:paraId="000000B8" w14:textId="77777777" w:rsidR="00546EC1" w:rsidRPr="00BA2938" w:rsidRDefault="00546EC1" w:rsidP="00BA2938">
      <w:pPr>
        <w:spacing w:after="0" w:line="240" w:lineRule="auto"/>
        <w:jc w:val="both"/>
        <w:rPr>
          <w:rFonts w:ascii="Titillium Web" w:hAnsi="Titillium Web"/>
          <w:sz w:val="20"/>
          <w:szCs w:val="20"/>
        </w:rPr>
      </w:pPr>
    </w:p>
    <w:p w14:paraId="000000B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Trade Execution: </w:t>
      </w:r>
      <w:r w:rsidRPr="00BA2938">
        <w:rPr>
          <w:rFonts w:ascii="Titillium Web" w:hAnsi="Titillium Web"/>
          <w:sz w:val="20"/>
          <w:szCs w:val="20"/>
        </w:rPr>
        <w:t>Risk where the final execution price is different from the screen price, leading to dilution in the spreads and hence impacting the profitability of the reverse arbitrage strategy.</w:t>
      </w:r>
    </w:p>
    <w:p w14:paraId="000000BA" w14:textId="77777777" w:rsidR="00546EC1" w:rsidRPr="00BA2938" w:rsidRDefault="00546EC1" w:rsidP="00BA2938">
      <w:pPr>
        <w:spacing w:after="0" w:line="240" w:lineRule="auto"/>
        <w:jc w:val="both"/>
        <w:rPr>
          <w:rFonts w:ascii="Titillium Web" w:hAnsi="Titillium Web"/>
          <w:sz w:val="20"/>
          <w:szCs w:val="20"/>
        </w:rPr>
      </w:pPr>
    </w:p>
    <w:p w14:paraId="000000B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Systemic Risk: </w:t>
      </w:r>
      <w:r w:rsidRPr="00BA2938">
        <w:rPr>
          <w:rFonts w:ascii="Titillium Web" w:hAnsi="Titillium Web"/>
          <w:sz w:val="20"/>
          <w:szCs w:val="20"/>
        </w:rPr>
        <w:t>For Derivatives, especially OTC ones the failure of one Counter Party can put the whole system at risk and the whole system can come to a halt.</w:t>
      </w:r>
    </w:p>
    <w:p w14:paraId="000000BC" w14:textId="77777777" w:rsidR="00546EC1" w:rsidRPr="00BA2938" w:rsidRDefault="00546EC1" w:rsidP="00BA2938">
      <w:pPr>
        <w:spacing w:after="0" w:line="240" w:lineRule="auto"/>
        <w:jc w:val="both"/>
        <w:rPr>
          <w:rFonts w:ascii="Titillium Web" w:hAnsi="Titillium Web"/>
          <w:sz w:val="20"/>
          <w:szCs w:val="20"/>
        </w:rPr>
      </w:pPr>
    </w:p>
    <w:p w14:paraId="000000B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The scheme may invest in various derivative products in accordance with and to the extent permitted under the regulations from time to time.</w:t>
      </w:r>
    </w:p>
    <w:p w14:paraId="000000BE" w14:textId="77777777" w:rsidR="00546EC1" w:rsidRPr="00BA2938" w:rsidRDefault="00546EC1" w:rsidP="00BA2938">
      <w:pPr>
        <w:spacing w:after="0" w:line="240" w:lineRule="auto"/>
        <w:jc w:val="both"/>
        <w:rPr>
          <w:rFonts w:ascii="Titillium Web" w:hAnsi="Titillium Web"/>
          <w:sz w:val="20"/>
          <w:szCs w:val="20"/>
        </w:rPr>
      </w:pPr>
    </w:p>
    <w:p w14:paraId="000000B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Derivatives are financial contracts of pre-determined fixed duration, like stock Futures /options and index futures and options, whose values are derived from the value of an underlying primary financial instrument such as: Equities, Interest rates, Exchange rates and Commodities.</w:t>
      </w:r>
    </w:p>
    <w:p w14:paraId="000000C0" w14:textId="77777777" w:rsidR="00546EC1" w:rsidRPr="00BA2938" w:rsidRDefault="00546EC1" w:rsidP="00BA2938">
      <w:pPr>
        <w:spacing w:after="0" w:line="240" w:lineRule="auto"/>
        <w:jc w:val="both"/>
        <w:rPr>
          <w:rFonts w:ascii="Titillium Web" w:hAnsi="Titillium Web"/>
          <w:b/>
          <w:sz w:val="20"/>
          <w:szCs w:val="20"/>
        </w:rPr>
      </w:pPr>
    </w:p>
    <w:p w14:paraId="000000C1"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Derivative products are specialized instruments that require investment techniques and risk analysis which are different from those associated with stocks and other traditional securities.</w:t>
      </w:r>
    </w:p>
    <w:p w14:paraId="000000C2" w14:textId="77777777" w:rsidR="00546EC1" w:rsidRPr="00BA2938" w:rsidRDefault="00546EC1" w:rsidP="00BA2938">
      <w:pPr>
        <w:spacing w:after="0" w:line="240" w:lineRule="auto"/>
        <w:jc w:val="both"/>
        <w:rPr>
          <w:rFonts w:ascii="Titillium Web" w:hAnsi="Titillium Web"/>
          <w:sz w:val="20"/>
          <w:szCs w:val="20"/>
        </w:rPr>
      </w:pPr>
    </w:p>
    <w:p w14:paraId="000000C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Derivatives are highly leveraged instruments and a small price fluctuation in the underlying can have a larger impact on its value. Thus, its use can lead to disproportionate gains or losses to the portfolio. Execution of derivatives instruments depends on the ability of the fund manager to identify good opportunities. Identification and execution of the strategies to be pursued by the fund manager involve uncertainty and decision of fund manager may not always be profitable. No assurance can be given that the fund manager will be able to identify or execute such strategies.</w:t>
      </w:r>
    </w:p>
    <w:p w14:paraId="000000C4" w14:textId="77777777" w:rsidR="00546EC1" w:rsidRPr="00BA2938" w:rsidRDefault="00546EC1" w:rsidP="00BA2938">
      <w:pPr>
        <w:spacing w:after="0" w:line="240" w:lineRule="auto"/>
        <w:jc w:val="both"/>
        <w:rPr>
          <w:rFonts w:ascii="Titillium Web" w:hAnsi="Titillium Web"/>
          <w:sz w:val="20"/>
          <w:szCs w:val="20"/>
        </w:rPr>
      </w:pPr>
    </w:p>
    <w:p w14:paraId="000000C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risks associated with the use of Derivatives are different from or possibly greater than, the risks associated with investing directly in securities and other traditional investments.”</w:t>
      </w:r>
    </w:p>
    <w:p w14:paraId="000000C6" w14:textId="77777777" w:rsidR="00546EC1" w:rsidRPr="00BA2938" w:rsidRDefault="00546EC1" w:rsidP="00BA2938">
      <w:pPr>
        <w:spacing w:after="0" w:line="240" w:lineRule="auto"/>
        <w:jc w:val="both"/>
        <w:rPr>
          <w:rFonts w:ascii="Titillium Web" w:hAnsi="Titillium Web"/>
          <w:b/>
          <w:sz w:val="20"/>
          <w:szCs w:val="20"/>
          <w:u w:val="single"/>
        </w:rPr>
      </w:pPr>
    </w:p>
    <w:p w14:paraId="000000C7" w14:textId="77777777" w:rsidR="00546EC1" w:rsidRPr="00BA2938" w:rsidRDefault="00000000" w:rsidP="00BA2938">
      <w:pPr>
        <w:spacing w:after="0" w:line="240" w:lineRule="auto"/>
        <w:jc w:val="both"/>
        <w:rPr>
          <w:rFonts w:ascii="Titillium Web" w:hAnsi="Titillium Web"/>
          <w:b/>
          <w:sz w:val="20"/>
          <w:szCs w:val="20"/>
          <w:u w:val="single"/>
        </w:rPr>
      </w:pPr>
      <w:r w:rsidRPr="00BA2938">
        <w:rPr>
          <w:rFonts w:ascii="Titillium Web" w:hAnsi="Titillium Web"/>
          <w:b/>
          <w:sz w:val="20"/>
          <w:szCs w:val="20"/>
          <w:u w:val="single"/>
        </w:rPr>
        <w:t>Risks associated with Short Selling &amp; Securities Lending:</w:t>
      </w:r>
    </w:p>
    <w:p w14:paraId="000000C8" w14:textId="77777777" w:rsidR="00546EC1" w:rsidRPr="00BA2938" w:rsidRDefault="00546EC1" w:rsidP="00BA2938">
      <w:pPr>
        <w:spacing w:after="0" w:line="240" w:lineRule="auto"/>
        <w:jc w:val="both"/>
        <w:rPr>
          <w:rFonts w:ascii="Titillium Web" w:hAnsi="Titillium Web"/>
          <w:b/>
          <w:sz w:val="20"/>
          <w:szCs w:val="20"/>
        </w:rPr>
      </w:pPr>
    </w:p>
    <w:p w14:paraId="000000C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Securities Lending is a lending of securities through an approved intermediary to a borrower under an agreement for a specified period with the condition that the borrower will return equivalent securities of the same type or class at the end of the specified period along with the corporate benefits accruing on the securities borrowed. There are risks inherent in securities lending, including the risk of failure of the other party, in this case the approved intermediary to comply with the terms of the agreement. Such failure can result in a possible loss of rights to the collateral, the inability of the approved intermediary to return the securities deposited by the lender and the possible loss of corporate benefits accruing thereon.</w:t>
      </w:r>
    </w:p>
    <w:p w14:paraId="000000CA" w14:textId="77777777" w:rsidR="00546EC1" w:rsidRPr="00BA2938" w:rsidRDefault="00546EC1" w:rsidP="00BA2938">
      <w:pPr>
        <w:spacing w:after="0" w:line="240" w:lineRule="auto"/>
        <w:jc w:val="both"/>
        <w:rPr>
          <w:rFonts w:ascii="Titillium Web" w:hAnsi="Titillium Web"/>
          <w:sz w:val="20"/>
          <w:szCs w:val="20"/>
        </w:rPr>
      </w:pPr>
    </w:p>
    <w:p w14:paraId="000000CB" w14:textId="77777777" w:rsidR="00546EC1" w:rsidRPr="00BA2938" w:rsidRDefault="00000000" w:rsidP="00BA2938">
      <w:pPr>
        <w:spacing w:after="0" w:line="240" w:lineRule="auto"/>
        <w:jc w:val="both"/>
        <w:rPr>
          <w:rFonts w:ascii="Titillium Web" w:hAnsi="Titillium Web"/>
          <w:sz w:val="20"/>
          <w:szCs w:val="20"/>
        </w:rPr>
      </w:pPr>
      <w:proofErr w:type="gramStart"/>
      <w:r w:rsidRPr="00BA2938">
        <w:rPr>
          <w:rFonts w:ascii="Titillium Web" w:hAnsi="Titillium Web"/>
          <w:sz w:val="20"/>
          <w:szCs w:val="20"/>
        </w:rPr>
        <w:t>Short-selling</w:t>
      </w:r>
      <w:proofErr w:type="gramEnd"/>
      <w:r w:rsidRPr="00BA2938">
        <w:rPr>
          <w:rFonts w:ascii="Titillium Web" w:hAnsi="Titillium Web"/>
          <w:sz w:val="20"/>
          <w:szCs w:val="20"/>
        </w:rPr>
        <w:t xml:space="preserve"> is the sale of shares or securities that the seller does not own at the time of trading.  Instead, he borrows it from someone who already owns it. Later, the short seller buys back the stock/security he shorted and returns the stock/security to the lender to close out the loan. The inherent risks are Counterparty risk and liquidity risk of the stock/security being borrowed. The security being short sold might be illiquid or become illiquid and covering of the security might occur at a much higher price level than anticipated, leading to losses.</w:t>
      </w:r>
    </w:p>
    <w:p w14:paraId="000000CC" w14:textId="77777777" w:rsidR="00546EC1" w:rsidRPr="00BA2938" w:rsidRDefault="00546EC1" w:rsidP="00BA2938">
      <w:pPr>
        <w:spacing w:after="0" w:line="240" w:lineRule="auto"/>
        <w:jc w:val="both"/>
        <w:rPr>
          <w:rFonts w:ascii="Titillium Web" w:hAnsi="Titillium Web"/>
          <w:sz w:val="20"/>
          <w:szCs w:val="20"/>
        </w:rPr>
      </w:pPr>
    </w:p>
    <w:p w14:paraId="000000CD" w14:textId="77777777" w:rsidR="00546EC1" w:rsidRPr="00BA2938" w:rsidRDefault="00000000" w:rsidP="00BA2938">
      <w:pPr>
        <w:spacing w:after="0" w:line="240" w:lineRule="auto"/>
        <w:jc w:val="both"/>
        <w:rPr>
          <w:rFonts w:ascii="Titillium Web" w:hAnsi="Titillium Web"/>
          <w:b/>
          <w:sz w:val="20"/>
          <w:szCs w:val="20"/>
          <w:highlight w:val="white"/>
          <w:u w:val="single"/>
        </w:rPr>
      </w:pPr>
      <w:r w:rsidRPr="00BA2938">
        <w:rPr>
          <w:rFonts w:ascii="Titillium Web" w:hAnsi="Titillium Web"/>
          <w:b/>
          <w:sz w:val="20"/>
          <w:szCs w:val="20"/>
          <w:highlight w:val="white"/>
          <w:u w:val="single"/>
        </w:rPr>
        <w:t xml:space="preserve">Risk Factors Associated with Investments in REITs and </w:t>
      </w:r>
      <w:proofErr w:type="spellStart"/>
      <w:r w:rsidRPr="00BA2938">
        <w:rPr>
          <w:rFonts w:ascii="Titillium Web" w:hAnsi="Titillium Web"/>
          <w:b/>
          <w:sz w:val="20"/>
          <w:szCs w:val="20"/>
          <w:highlight w:val="white"/>
          <w:u w:val="single"/>
        </w:rPr>
        <w:t>InvITS</w:t>
      </w:r>
      <w:proofErr w:type="spellEnd"/>
      <w:r w:rsidRPr="00BA2938">
        <w:rPr>
          <w:rFonts w:ascii="Titillium Web" w:hAnsi="Titillium Web"/>
          <w:b/>
          <w:sz w:val="20"/>
          <w:szCs w:val="20"/>
          <w:highlight w:val="white"/>
          <w:u w:val="single"/>
        </w:rPr>
        <w:t>:</w:t>
      </w:r>
    </w:p>
    <w:p w14:paraId="000000CE" w14:textId="77777777" w:rsidR="00546EC1" w:rsidRPr="00BA2938" w:rsidRDefault="00546EC1" w:rsidP="00BA2938">
      <w:pPr>
        <w:spacing w:after="0" w:line="240" w:lineRule="auto"/>
        <w:jc w:val="both"/>
        <w:rPr>
          <w:rFonts w:ascii="Titillium Web" w:hAnsi="Titillium Web"/>
          <w:sz w:val="20"/>
          <w:szCs w:val="20"/>
          <w:highlight w:val="white"/>
        </w:rPr>
      </w:pPr>
    </w:p>
    <w:p w14:paraId="000000CF" w14:textId="77777777" w:rsidR="00546EC1" w:rsidRPr="00BA2938" w:rsidRDefault="00000000" w:rsidP="00BA2938">
      <w:pPr>
        <w:spacing w:after="0" w:line="240" w:lineRule="auto"/>
        <w:jc w:val="both"/>
        <w:rPr>
          <w:rFonts w:ascii="Titillium Web" w:hAnsi="Titillium Web"/>
          <w:sz w:val="20"/>
          <w:szCs w:val="20"/>
          <w:highlight w:val="white"/>
        </w:rPr>
      </w:pPr>
      <w:r w:rsidRPr="00BA2938">
        <w:rPr>
          <w:rFonts w:ascii="Titillium Web" w:hAnsi="Titillium Web"/>
          <w:sz w:val="20"/>
          <w:szCs w:val="20"/>
          <w:highlight w:val="white"/>
        </w:rPr>
        <w:t xml:space="preserve"> • </w:t>
      </w:r>
      <w:r w:rsidRPr="00BA2938">
        <w:rPr>
          <w:rFonts w:ascii="Titillium Web" w:hAnsi="Titillium Web"/>
          <w:b/>
          <w:sz w:val="20"/>
          <w:szCs w:val="20"/>
          <w:highlight w:val="white"/>
        </w:rPr>
        <w:t>Market Risk</w:t>
      </w:r>
      <w:r w:rsidRPr="00BA2938">
        <w:rPr>
          <w:rFonts w:ascii="Titillium Web" w:hAnsi="Titillium Web"/>
          <w:sz w:val="20"/>
          <w:szCs w:val="20"/>
          <w:highlight w:val="white"/>
        </w:rPr>
        <w:t xml:space="preserve">: REITs and </w:t>
      </w:r>
      <w:proofErr w:type="spellStart"/>
      <w:r w:rsidRPr="00BA2938">
        <w:rPr>
          <w:rFonts w:ascii="Titillium Web" w:hAnsi="Titillium Web"/>
          <w:sz w:val="20"/>
          <w:szCs w:val="20"/>
          <w:highlight w:val="white"/>
        </w:rPr>
        <w:t>InvITs</w:t>
      </w:r>
      <w:proofErr w:type="spellEnd"/>
      <w:r w:rsidRPr="00BA2938">
        <w:rPr>
          <w:rFonts w:ascii="Titillium Web" w:hAnsi="Titillium Web"/>
          <w:sz w:val="20"/>
          <w:szCs w:val="20"/>
          <w:highlight w:val="white"/>
        </w:rPr>
        <w:t xml:space="preserve"> Investments are volatile and subject to price fluctuations </w:t>
      </w:r>
      <w:proofErr w:type="gramStart"/>
      <w:r w:rsidRPr="00BA2938">
        <w:rPr>
          <w:rFonts w:ascii="Titillium Web" w:hAnsi="Titillium Web"/>
          <w:sz w:val="20"/>
          <w:szCs w:val="20"/>
          <w:highlight w:val="white"/>
        </w:rPr>
        <w:t>on a daily basis</w:t>
      </w:r>
      <w:proofErr w:type="gramEnd"/>
      <w:r w:rsidRPr="00BA2938">
        <w:rPr>
          <w:rFonts w:ascii="Titillium Web" w:hAnsi="Titillium Web"/>
          <w:sz w:val="20"/>
          <w:szCs w:val="20"/>
          <w:highlight w:val="white"/>
        </w:rPr>
        <w:t xml:space="preserve"> owing to factors impacting the underlying assets. AMC/Fund Manager’s will do the necessary due </w:t>
      </w:r>
      <w:proofErr w:type="gramStart"/>
      <w:r w:rsidRPr="00BA2938">
        <w:rPr>
          <w:rFonts w:ascii="Titillium Web" w:hAnsi="Titillium Web"/>
          <w:sz w:val="20"/>
          <w:szCs w:val="20"/>
          <w:highlight w:val="white"/>
        </w:rPr>
        <w:t>diligence</w:t>
      </w:r>
      <w:proofErr w:type="gramEnd"/>
      <w:r w:rsidRPr="00BA2938">
        <w:rPr>
          <w:rFonts w:ascii="Titillium Web" w:hAnsi="Titillium Web"/>
          <w:sz w:val="20"/>
          <w:szCs w:val="20"/>
          <w:highlight w:val="white"/>
        </w:rPr>
        <w:t xml:space="preserve"> but actual market movements may be at variance with the anticipated trends. </w:t>
      </w:r>
    </w:p>
    <w:p w14:paraId="000000D0" w14:textId="77777777" w:rsidR="00546EC1" w:rsidRPr="00BA2938" w:rsidRDefault="00546EC1" w:rsidP="00BA2938">
      <w:pPr>
        <w:spacing w:after="0" w:line="240" w:lineRule="auto"/>
        <w:jc w:val="both"/>
        <w:rPr>
          <w:rFonts w:ascii="Titillium Web" w:hAnsi="Titillium Web"/>
          <w:sz w:val="20"/>
          <w:szCs w:val="20"/>
          <w:highlight w:val="white"/>
        </w:rPr>
      </w:pPr>
    </w:p>
    <w:p w14:paraId="000000D1" w14:textId="77777777" w:rsidR="00546EC1" w:rsidRPr="00BA2938" w:rsidRDefault="00000000" w:rsidP="00BA2938">
      <w:pPr>
        <w:spacing w:after="0" w:line="240" w:lineRule="auto"/>
        <w:jc w:val="both"/>
        <w:rPr>
          <w:rFonts w:ascii="Titillium Web" w:hAnsi="Titillium Web"/>
          <w:sz w:val="20"/>
          <w:szCs w:val="20"/>
          <w:highlight w:val="white"/>
        </w:rPr>
      </w:pPr>
      <w:r w:rsidRPr="00BA2938">
        <w:rPr>
          <w:rFonts w:ascii="Titillium Web" w:hAnsi="Titillium Web"/>
          <w:sz w:val="20"/>
          <w:szCs w:val="20"/>
          <w:highlight w:val="white"/>
        </w:rPr>
        <w:t xml:space="preserve">• </w:t>
      </w:r>
      <w:r w:rsidRPr="00BA2938">
        <w:rPr>
          <w:rFonts w:ascii="Titillium Web" w:hAnsi="Titillium Web"/>
          <w:b/>
          <w:sz w:val="20"/>
          <w:szCs w:val="20"/>
          <w:highlight w:val="white"/>
        </w:rPr>
        <w:t>Liquidity Risk</w:t>
      </w:r>
      <w:r w:rsidRPr="00BA2938">
        <w:rPr>
          <w:rFonts w:ascii="Titillium Web" w:hAnsi="Titillium Web"/>
          <w:sz w:val="20"/>
          <w:szCs w:val="20"/>
          <w:highlight w:val="white"/>
        </w:rPr>
        <w:t xml:space="preserve">: As the liquidity of the investments made by the Scheme(s) could, at times, be restricted by trading volumes, settlement periods, dissolution of the trust, potential delisting of units on the exchange </w:t>
      </w:r>
      <w:proofErr w:type="spellStart"/>
      <w:r w:rsidRPr="00BA2938">
        <w:rPr>
          <w:rFonts w:ascii="Titillium Web" w:hAnsi="Titillium Web"/>
          <w:sz w:val="20"/>
          <w:szCs w:val="20"/>
          <w:highlight w:val="white"/>
        </w:rPr>
        <w:t>etc</w:t>
      </w:r>
      <w:proofErr w:type="spellEnd"/>
      <w:r w:rsidRPr="00BA2938">
        <w:rPr>
          <w:rFonts w:ascii="Titillium Web" w:hAnsi="Titillium Web"/>
          <w:sz w:val="20"/>
          <w:szCs w:val="20"/>
          <w:highlight w:val="white"/>
        </w:rPr>
        <w:t xml:space="preserve">, the time taken by the Mutual Fund for liquidating the investments in the scheme may be high in the event of immediate redemption requirement. Investment in such securities may lead to increase in the scheme portfolio risk. </w:t>
      </w:r>
    </w:p>
    <w:p w14:paraId="000000D2" w14:textId="77777777" w:rsidR="00546EC1" w:rsidRPr="00BA2938" w:rsidRDefault="00546EC1" w:rsidP="00BA2938">
      <w:pPr>
        <w:spacing w:after="0" w:line="240" w:lineRule="auto"/>
        <w:jc w:val="both"/>
        <w:rPr>
          <w:rFonts w:ascii="Titillium Web" w:hAnsi="Titillium Web"/>
          <w:sz w:val="20"/>
          <w:szCs w:val="20"/>
          <w:highlight w:val="white"/>
        </w:rPr>
      </w:pPr>
    </w:p>
    <w:p w14:paraId="000000D3" w14:textId="77777777" w:rsidR="00546EC1" w:rsidRPr="00BA2938" w:rsidRDefault="00000000" w:rsidP="00BA2938">
      <w:pPr>
        <w:spacing w:after="0" w:line="240" w:lineRule="auto"/>
        <w:jc w:val="both"/>
        <w:rPr>
          <w:rFonts w:ascii="Titillium Web" w:hAnsi="Titillium Web"/>
          <w:sz w:val="20"/>
          <w:szCs w:val="20"/>
          <w:highlight w:val="white"/>
        </w:rPr>
      </w:pPr>
      <w:r w:rsidRPr="00BA2938">
        <w:rPr>
          <w:rFonts w:ascii="Titillium Web" w:hAnsi="Titillium Web"/>
          <w:sz w:val="20"/>
          <w:szCs w:val="20"/>
          <w:highlight w:val="white"/>
        </w:rPr>
        <w:t xml:space="preserve">• </w:t>
      </w:r>
      <w:r w:rsidRPr="00BA2938">
        <w:rPr>
          <w:rFonts w:ascii="Titillium Web" w:hAnsi="Titillium Web"/>
          <w:b/>
          <w:sz w:val="20"/>
          <w:szCs w:val="20"/>
          <w:highlight w:val="white"/>
        </w:rPr>
        <w:t>Reinvestment Risk</w:t>
      </w:r>
      <w:r w:rsidRPr="00BA2938">
        <w:rPr>
          <w:rFonts w:ascii="Titillium Web" w:hAnsi="Titillium Web"/>
          <w:sz w:val="20"/>
          <w:szCs w:val="20"/>
          <w:highlight w:val="white"/>
        </w:rPr>
        <w:t xml:space="preserve">: Investments in REITs &amp; </w:t>
      </w:r>
      <w:proofErr w:type="spellStart"/>
      <w:r w:rsidRPr="00BA2938">
        <w:rPr>
          <w:rFonts w:ascii="Titillium Web" w:hAnsi="Titillium Web"/>
          <w:sz w:val="20"/>
          <w:szCs w:val="20"/>
          <w:highlight w:val="white"/>
        </w:rPr>
        <w:t>InvITs</w:t>
      </w:r>
      <w:proofErr w:type="spellEnd"/>
      <w:r w:rsidRPr="00BA2938">
        <w:rPr>
          <w:rFonts w:ascii="Titillium Web" w:hAnsi="Titillium Web"/>
          <w:sz w:val="20"/>
          <w:szCs w:val="20"/>
          <w:highlight w:val="white"/>
        </w:rPr>
        <w:t xml:space="preserve"> may carry reinvestment risk as there could be repatriation of funds by the Trusts in form of buyback of units or dividend pay-outs, etc. Consequently, the proceeds may get invested in assets providing lower returns. </w:t>
      </w:r>
    </w:p>
    <w:p w14:paraId="000000D4" w14:textId="77777777" w:rsidR="00546EC1" w:rsidRPr="00BA2938" w:rsidRDefault="00546EC1" w:rsidP="00BA2938">
      <w:pPr>
        <w:spacing w:after="0" w:line="240" w:lineRule="auto"/>
        <w:jc w:val="both"/>
        <w:rPr>
          <w:rFonts w:ascii="Titillium Web" w:hAnsi="Titillium Web"/>
          <w:sz w:val="20"/>
          <w:szCs w:val="20"/>
          <w:highlight w:val="white"/>
        </w:rPr>
      </w:pPr>
    </w:p>
    <w:p w14:paraId="000000D5" w14:textId="77777777" w:rsidR="00546EC1" w:rsidRPr="00BA2938" w:rsidRDefault="00000000" w:rsidP="00BA2938">
      <w:pPr>
        <w:spacing w:after="0" w:line="240" w:lineRule="auto"/>
        <w:jc w:val="both"/>
        <w:rPr>
          <w:rFonts w:ascii="Titillium Web" w:hAnsi="Titillium Web"/>
          <w:sz w:val="20"/>
          <w:szCs w:val="20"/>
          <w:highlight w:val="white"/>
        </w:rPr>
      </w:pPr>
      <w:r w:rsidRPr="00BA2938">
        <w:rPr>
          <w:rFonts w:ascii="Titillium Web" w:hAnsi="Titillium Web"/>
          <w:sz w:val="20"/>
          <w:szCs w:val="20"/>
          <w:highlight w:val="white"/>
        </w:rPr>
        <w:t xml:space="preserve">• </w:t>
      </w:r>
      <w:r w:rsidRPr="00BA2938">
        <w:rPr>
          <w:rFonts w:ascii="Titillium Web" w:hAnsi="Titillium Web"/>
          <w:b/>
          <w:sz w:val="20"/>
          <w:szCs w:val="20"/>
          <w:highlight w:val="white"/>
        </w:rPr>
        <w:t>Regulatory/Legal Risk</w:t>
      </w:r>
      <w:r w:rsidRPr="00BA2938">
        <w:rPr>
          <w:rFonts w:ascii="Titillium Web" w:hAnsi="Titillium Web"/>
          <w:sz w:val="20"/>
          <w:szCs w:val="20"/>
          <w:highlight w:val="white"/>
        </w:rPr>
        <w:t xml:space="preserve">: REITs and </w:t>
      </w:r>
      <w:proofErr w:type="spellStart"/>
      <w:r w:rsidRPr="00BA2938">
        <w:rPr>
          <w:rFonts w:ascii="Titillium Web" w:hAnsi="Titillium Web"/>
          <w:sz w:val="20"/>
          <w:szCs w:val="20"/>
          <w:highlight w:val="white"/>
        </w:rPr>
        <w:t>InvITs</w:t>
      </w:r>
      <w:proofErr w:type="spellEnd"/>
      <w:r w:rsidRPr="00BA2938">
        <w:rPr>
          <w:rFonts w:ascii="Titillium Web" w:hAnsi="Titillium Web"/>
          <w:sz w:val="20"/>
          <w:szCs w:val="20"/>
          <w:highlight w:val="white"/>
        </w:rPr>
        <w:t xml:space="preserve"> being new asset classes, rights of unit holders such as right to information </w:t>
      </w:r>
      <w:proofErr w:type="spellStart"/>
      <w:r w:rsidRPr="00BA2938">
        <w:rPr>
          <w:rFonts w:ascii="Titillium Web" w:hAnsi="Titillium Web"/>
          <w:sz w:val="20"/>
          <w:szCs w:val="20"/>
          <w:highlight w:val="white"/>
        </w:rPr>
        <w:t>etc</w:t>
      </w:r>
      <w:proofErr w:type="spellEnd"/>
      <w:r w:rsidRPr="00BA2938">
        <w:rPr>
          <w:rFonts w:ascii="Titillium Web" w:hAnsi="Titillium Web"/>
          <w:sz w:val="20"/>
          <w:szCs w:val="20"/>
          <w:highlight w:val="white"/>
        </w:rPr>
        <w:t xml:space="preserve"> may differ from existing capital market asset classes under Indian Law. </w:t>
      </w:r>
    </w:p>
    <w:p w14:paraId="000000D6" w14:textId="77777777" w:rsidR="00546EC1" w:rsidRPr="00BA2938" w:rsidRDefault="00546EC1" w:rsidP="00BA2938">
      <w:pPr>
        <w:spacing w:after="0" w:line="240" w:lineRule="auto"/>
        <w:jc w:val="both"/>
        <w:rPr>
          <w:rFonts w:ascii="Titillium Web" w:hAnsi="Titillium Web"/>
          <w:sz w:val="20"/>
          <w:szCs w:val="20"/>
          <w:highlight w:val="white"/>
        </w:rPr>
      </w:pPr>
    </w:p>
    <w:p w14:paraId="000000D7" w14:textId="77777777" w:rsidR="00546EC1" w:rsidRPr="00BA2938" w:rsidRDefault="00000000" w:rsidP="00BA2938">
      <w:pPr>
        <w:spacing w:after="0" w:line="240" w:lineRule="auto"/>
        <w:jc w:val="both"/>
        <w:rPr>
          <w:rFonts w:ascii="Titillium Web" w:hAnsi="Titillium Web"/>
          <w:sz w:val="20"/>
          <w:szCs w:val="20"/>
          <w:highlight w:val="white"/>
        </w:rPr>
      </w:pPr>
      <w:r w:rsidRPr="00BA2938">
        <w:rPr>
          <w:rFonts w:ascii="Titillium Web" w:hAnsi="Titillium Web"/>
          <w:sz w:val="20"/>
          <w:szCs w:val="20"/>
          <w:highlight w:val="white"/>
        </w:rPr>
        <w:t>The above are some of the common risks associated with investments in REITs &amp;</w:t>
      </w:r>
      <w:proofErr w:type="spellStart"/>
      <w:r w:rsidRPr="00BA2938">
        <w:rPr>
          <w:rFonts w:ascii="Titillium Web" w:hAnsi="Titillium Web"/>
          <w:sz w:val="20"/>
          <w:szCs w:val="20"/>
          <w:highlight w:val="white"/>
        </w:rPr>
        <w:t>InvITs</w:t>
      </w:r>
      <w:proofErr w:type="spellEnd"/>
      <w:r w:rsidRPr="00BA2938">
        <w:rPr>
          <w:rFonts w:ascii="Titillium Web" w:hAnsi="Titillium Web"/>
          <w:sz w:val="20"/>
          <w:szCs w:val="20"/>
          <w:highlight w:val="white"/>
        </w:rPr>
        <w:t>. There can be no assurance that a Scheme’s investment objectives will be achieved, or that there will be no loss of capital. Investment results may vary substantially on a monthly, quarterly or annual basis.</w:t>
      </w:r>
    </w:p>
    <w:p w14:paraId="000000D8" w14:textId="77777777" w:rsidR="00546EC1" w:rsidRPr="00BA2938" w:rsidRDefault="00546EC1" w:rsidP="00BA2938">
      <w:pPr>
        <w:spacing w:after="0" w:line="240" w:lineRule="auto"/>
        <w:jc w:val="both"/>
        <w:rPr>
          <w:rFonts w:ascii="Titillium Web" w:hAnsi="Titillium Web"/>
          <w:sz w:val="20"/>
          <w:szCs w:val="20"/>
        </w:rPr>
      </w:pPr>
    </w:p>
    <w:p w14:paraId="000000D9" w14:textId="77777777" w:rsidR="00546EC1" w:rsidRPr="00BA2938" w:rsidRDefault="00000000" w:rsidP="00BA2938">
      <w:pPr>
        <w:spacing w:after="0" w:line="240" w:lineRule="auto"/>
        <w:jc w:val="both"/>
        <w:rPr>
          <w:rFonts w:ascii="Titillium Web" w:hAnsi="Titillium Web"/>
          <w:b/>
          <w:sz w:val="20"/>
          <w:szCs w:val="20"/>
          <w:u w:val="single"/>
        </w:rPr>
      </w:pPr>
      <w:r w:rsidRPr="00BA2938">
        <w:rPr>
          <w:rFonts w:ascii="Titillium Web" w:hAnsi="Titillium Web"/>
          <w:b/>
          <w:sz w:val="20"/>
          <w:szCs w:val="20"/>
          <w:u w:val="single"/>
        </w:rPr>
        <w:t>Risk factors associated with processing of transactions through Stock Exchange Mechanism:</w:t>
      </w:r>
    </w:p>
    <w:p w14:paraId="000000DA" w14:textId="77777777" w:rsidR="00546EC1" w:rsidRPr="00BA2938" w:rsidRDefault="00546EC1" w:rsidP="00BA2938">
      <w:pPr>
        <w:spacing w:after="0" w:line="240" w:lineRule="auto"/>
        <w:jc w:val="both"/>
        <w:rPr>
          <w:rFonts w:ascii="Titillium Web" w:hAnsi="Titillium Web"/>
          <w:b/>
          <w:sz w:val="20"/>
          <w:szCs w:val="20"/>
        </w:rPr>
      </w:pPr>
    </w:p>
    <w:p w14:paraId="000000D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trading mechanism introduced by the Stock Exchange(s) is configured to accept and process transactions for mutual fund Units in both Physical and Demat Form. The allotment and/or redemption of Units through NSE and/or BSE or any other </w:t>
      </w:r>
      <w:proofErr w:type="spellStart"/>
      <w:r w:rsidRPr="00BA2938">
        <w:rPr>
          <w:rFonts w:ascii="Titillium Web" w:hAnsi="Titillium Web"/>
          <w:sz w:val="20"/>
          <w:szCs w:val="20"/>
        </w:rPr>
        <w:t>recognised</w:t>
      </w:r>
      <w:proofErr w:type="spellEnd"/>
      <w:r w:rsidRPr="00BA2938">
        <w:rPr>
          <w:rFonts w:ascii="Titillium Web" w:hAnsi="Titillium Web"/>
          <w:sz w:val="20"/>
          <w:szCs w:val="20"/>
        </w:rPr>
        <w:t xml:space="preserve"> Stock Exchange(s), on any Business Day will depend upon the modalities of processing viz. collection of application form, order processing /settlement, etc. upon which the Fund has no control. Moreover, transactions conducted through the Stock Exchange mechanism shall be governed by the operating guidelines and directives issued by respective recognized Stock Exchange(s). </w:t>
      </w:r>
    </w:p>
    <w:p w14:paraId="000000DC" w14:textId="77777777" w:rsidR="00546EC1" w:rsidRPr="00BA2938" w:rsidRDefault="00546EC1" w:rsidP="00BA2938">
      <w:pPr>
        <w:spacing w:after="0" w:line="240" w:lineRule="auto"/>
        <w:jc w:val="both"/>
        <w:rPr>
          <w:rFonts w:ascii="Titillium Web" w:hAnsi="Titillium Web"/>
          <w:sz w:val="20"/>
          <w:szCs w:val="20"/>
        </w:rPr>
      </w:pPr>
    </w:p>
    <w:p w14:paraId="000000DD" w14:textId="77777777" w:rsidR="00546EC1" w:rsidRPr="00BA2938" w:rsidRDefault="00000000" w:rsidP="00BA2938">
      <w:pPr>
        <w:pStyle w:val="Heading2"/>
        <w:spacing w:before="0" w:line="240" w:lineRule="auto"/>
        <w:jc w:val="both"/>
        <w:rPr>
          <w:rFonts w:ascii="Titillium Web" w:eastAsia="Calibri" w:hAnsi="Titillium Web" w:cs="Calibri"/>
          <w:b/>
          <w:color w:val="000000"/>
          <w:sz w:val="20"/>
          <w:szCs w:val="20"/>
        </w:rPr>
      </w:pPr>
      <w:bookmarkStart w:id="5" w:name="_heading=h.8brvk74kcaa8" w:colFirst="0" w:colLast="0"/>
      <w:bookmarkEnd w:id="5"/>
      <w:r w:rsidRPr="00BA2938">
        <w:rPr>
          <w:rFonts w:ascii="Titillium Web" w:eastAsia="Calibri" w:hAnsi="Titillium Web" w:cs="Calibri"/>
          <w:b/>
          <w:color w:val="000000"/>
          <w:sz w:val="20"/>
          <w:szCs w:val="20"/>
        </w:rPr>
        <w:t xml:space="preserve">Risk mitigation strategies </w:t>
      </w:r>
    </w:p>
    <w:p w14:paraId="000000DE" w14:textId="77777777" w:rsidR="00546EC1" w:rsidRPr="00BA2938" w:rsidRDefault="00000000" w:rsidP="00BA2938">
      <w:pPr>
        <w:widowControl w:val="0"/>
        <w:spacing w:after="0" w:line="240" w:lineRule="auto"/>
        <w:jc w:val="both"/>
        <w:rPr>
          <w:rFonts w:ascii="Titillium Web" w:hAnsi="Titillium Web"/>
          <w:sz w:val="20"/>
          <w:szCs w:val="20"/>
        </w:rPr>
      </w:pPr>
      <w:r w:rsidRPr="00BA2938">
        <w:rPr>
          <w:rFonts w:ascii="Titillium Web" w:hAnsi="Titillium Web"/>
          <w:sz w:val="20"/>
          <w:szCs w:val="20"/>
        </w:rPr>
        <w:t>Risk Mitigation measures for the 3 major risks associated with fixed income securities are given below:</w:t>
      </w:r>
    </w:p>
    <w:p w14:paraId="000000DF" w14:textId="77777777" w:rsidR="00546EC1" w:rsidRPr="00BA2938" w:rsidRDefault="00546EC1" w:rsidP="00BA2938">
      <w:pPr>
        <w:widowControl w:val="0"/>
        <w:spacing w:after="0" w:line="240" w:lineRule="auto"/>
        <w:jc w:val="both"/>
        <w:rPr>
          <w:rFonts w:ascii="Titillium Web" w:hAnsi="Titillium Web"/>
          <w:sz w:val="20"/>
          <w:szCs w:val="20"/>
        </w:rPr>
      </w:pPr>
    </w:p>
    <w:tbl>
      <w:tblPr>
        <w:tblStyle w:val="a"/>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0"/>
        <w:gridCol w:w="4960"/>
      </w:tblGrid>
      <w:tr w:rsidR="00546EC1" w:rsidRPr="00BA2938" w14:paraId="6C93AA04" w14:textId="77777777">
        <w:trPr>
          <w:trHeight w:val="620"/>
        </w:trPr>
        <w:tc>
          <w:tcPr>
            <w:tcW w:w="4400" w:type="dxa"/>
            <w:tcBorders>
              <w:top w:val="single" w:sz="4" w:space="0" w:color="000000"/>
              <w:left w:val="single" w:sz="4" w:space="0" w:color="000000"/>
              <w:bottom w:val="single" w:sz="4" w:space="0" w:color="000000"/>
              <w:right w:val="single" w:sz="4" w:space="0" w:color="000000"/>
            </w:tcBorders>
          </w:tcPr>
          <w:p w14:paraId="000000E0" w14:textId="77777777" w:rsidR="00546EC1" w:rsidRPr="00BA2938" w:rsidRDefault="00000000" w:rsidP="00BA2938">
            <w:pPr>
              <w:widowControl w:val="0"/>
              <w:spacing w:after="0" w:line="240" w:lineRule="auto"/>
              <w:ind w:left="149" w:right="139"/>
              <w:jc w:val="both"/>
              <w:rPr>
                <w:rFonts w:ascii="Titillium Web" w:hAnsi="Titillium Web"/>
                <w:sz w:val="20"/>
                <w:szCs w:val="20"/>
              </w:rPr>
            </w:pPr>
            <w:r w:rsidRPr="00BA2938">
              <w:rPr>
                <w:rFonts w:ascii="Titillium Web" w:hAnsi="Titillium Web"/>
                <w:b/>
                <w:sz w:val="20"/>
                <w:szCs w:val="20"/>
                <w:u w:val="single"/>
              </w:rPr>
              <w:t>Interest Rate Risk</w:t>
            </w:r>
          </w:p>
          <w:p w14:paraId="000000E1" w14:textId="77777777" w:rsidR="00546EC1" w:rsidRPr="00BA2938" w:rsidRDefault="00000000" w:rsidP="00BA2938">
            <w:pPr>
              <w:widowControl w:val="0"/>
              <w:spacing w:after="0" w:line="240" w:lineRule="auto"/>
              <w:ind w:left="149" w:right="139"/>
              <w:jc w:val="both"/>
              <w:rPr>
                <w:rFonts w:ascii="Titillium Web" w:hAnsi="Titillium Web"/>
                <w:sz w:val="20"/>
                <w:szCs w:val="20"/>
              </w:rPr>
            </w:pPr>
            <w:r w:rsidRPr="00BA2938">
              <w:rPr>
                <w:rFonts w:ascii="Titillium Web" w:hAnsi="Titillium Web"/>
                <w:sz w:val="20"/>
                <w:szCs w:val="20"/>
              </w:rPr>
              <w:t>Fixed income securities such as government bonds, corporate bonds, Money Market Instruments and Derivatives run price-risk or interest-rate risk. Generally, when interest rates rise, prices of existing fixed income securities fall and when interest rates drop, such prices increase. The extent of fall or rise in the prices depends upon the coupon and maturity of the security. It also depends upon the yield level at which the security is being traded.</w:t>
            </w:r>
          </w:p>
        </w:tc>
        <w:tc>
          <w:tcPr>
            <w:tcW w:w="4960" w:type="dxa"/>
            <w:tcBorders>
              <w:top w:val="single" w:sz="4" w:space="0" w:color="000000"/>
              <w:left w:val="single" w:sz="4" w:space="0" w:color="000000"/>
              <w:bottom w:val="single" w:sz="4" w:space="0" w:color="000000"/>
              <w:right w:val="single" w:sz="4" w:space="0" w:color="000000"/>
            </w:tcBorders>
          </w:tcPr>
          <w:p w14:paraId="000000E2" w14:textId="77777777" w:rsidR="00546EC1" w:rsidRPr="00BA2938" w:rsidRDefault="00000000" w:rsidP="00BA2938">
            <w:pPr>
              <w:widowControl w:val="0"/>
              <w:spacing w:after="0" w:line="240" w:lineRule="auto"/>
              <w:ind w:left="149" w:right="139"/>
              <w:jc w:val="both"/>
              <w:rPr>
                <w:rFonts w:ascii="Titillium Web" w:hAnsi="Titillium Web"/>
                <w:sz w:val="20"/>
                <w:szCs w:val="20"/>
              </w:rPr>
            </w:pPr>
            <w:r w:rsidRPr="00BA2938">
              <w:rPr>
                <w:rFonts w:ascii="Titillium Web" w:hAnsi="Titillium Web"/>
                <w:sz w:val="20"/>
                <w:szCs w:val="20"/>
              </w:rPr>
              <w:t xml:space="preserve">The modified duration of a portfolio is one of the means of measuring the interest rate risk of the portfolio.  Higher is the modified duration, the fund stands exposed to a higher degree of interest rate risk. The Fund Manager would decide on the modified duration to be maintained for the portfolio at a particular point of time after </w:t>
            </w:r>
            <w:proofErr w:type="gramStart"/>
            <w:r w:rsidRPr="00BA2938">
              <w:rPr>
                <w:rFonts w:ascii="Titillium Web" w:hAnsi="Titillium Web"/>
                <w:sz w:val="20"/>
                <w:szCs w:val="20"/>
              </w:rPr>
              <w:t>taking into account</w:t>
            </w:r>
            <w:proofErr w:type="gramEnd"/>
            <w:r w:rsidRPr="00BA2938">
              <w:rPr>
                <w:rFonts w:ascii="Titillium Web" w:hAnsi="Titillium Web"/>
                <w:sz w:val="20"/>
                <w:szCs w:val="20"/>
              </w:rPr>
              <w:t xml:space="preserve"> the current scenario and the investment objective of the scheme. </w:t>
            </w:r>
            <w:proofErr w:type="gramStart"/>
            <w:r w:rsidRPr="00BA2938">
              <w:rPr>
                <w:rFonts w:ascii="Titillium Web" w:hAnsi="Titillium Web"/>
                <w:sz w:val="20"/>
                <w:szCs w:val="20"/>
              </w:rPr>
              <w:t>The  portfolio</w:t>
            </w:r>
            <w:proofErr w:type="gramEnd"/>
            <w:r w:rsidRPr="00BA2938">
              <w:rPr>
                <w:rFonts w:ascii="Titillium Web" w:hAnsi="Titillium Web"/>
                <w:sz w:val="20"/>
                <w:szCs w:val="20"/>
              </w:rPr>
              <w:t xml:space="preserve">  duration  will  be  decided after  doing  a  thorough  research  on  the  general  macroeconomic  condition, political  environment, systemic liquidity, inflationary expectations, corporate performance  and  other  macroeconomic  considerations.  </w:t>
            </w:r>
            <w:proofErr w:type="gramStart"/>
            <w:r w:rsidRPr="00BA2938">
              <w:rPr>
                <w:rFonts w:ascii="Titillium Web" w:hAnsi="Titillium Web"/>
                <w:sz w:val="20"/>
                <w:szCs w:val="20"/>
              </w:rPr>
              <w:t>The  Investment</w:t>
            </w:r>
            <w:proofErr w:type="gramEnd"/>
            <w:r w:rsidRPr="00BA2938">
              <w:rPr>
                <w:rFonts w:ascii="Titillium Web" w:hAnsi="Titillium Web"/>
                <w:sz w:val="20"/>
                <w:szCs w:val="20"/>
              </w:rPr>
              <w:t xml:space="preserve"> Committee  of  the  AMC  would  be  monitoring  the  portfolios  constantly  and would be giving  direction regarding portfolio modified duration to the Fund Manager.</w:t>
            </w:r>
          </w:p>
        </w:tc>
      </w:tr>
      <w:tr w:rsidR="00546EC1" w:rsidRPr="00BA2938" w14:paraId="77EE482C" w14:textId="77777777">
        <w:trPr>
          <w:trHeight w:val="956"/>
        </w:trPr>
        <w:tc>
          <w:tcPr>
            <w:tcW w:w="4400" w:type="dxa"/>
            <w:tcBorders>
              <w:top w:val="single" w:sz="4" w:space="0" w:color="000000"/>
              <w:left w:val="single" w:sz="4" w:space="0" w:color="000000"/>
              <w:bottom w:val="single" w:sz="4" w:space="0" w:color="000000"/>
              <w:right w:val="single" w:sz="4" w:space="0" w:color="000000"/>
            </w:tcBorders>
          </w:tcPr>
          <w:p w14:paraId="000000E3" w14:textId="77777777" w:rsidR="00546EC1" w:rsidRPr="00BA2938" w:rsidRDefault="00000000" w:rsidP="00BA2938">
            <w:pPr>
              <w:widowControl w:val="0"/>
              <w:spacing w:after="0" w:line="240" w:lineRule="auto"/>
              <w:ind w:left="149" w:right="139"/>
              <w:jc w:val="both"/>
              <w:rPr>
                <w:rFonts w:ascii="Titillium Web" w:hAnsi="Titillium Web"/>
                <w:sz w:val="20"/>
                <w:szCs w:val="20"/>
              </w:rPr>
            </w:pPr>
            <w:r w:rsidRPr="00BA2938">
              <w:rPr>
                <w:rFonts w:ascii="Titillium Web" w:hAnsi="Titillium Web"/>
                <w:b/>
                <w:sz w:val="20"/>
                <w:szCs w:val="20"/>
                <w:u w:val="single"/>
              </w:rPr>
              <w:t>Credit Risk</w:t>
            </w:r>
          </w:p>
          <w:p w14:paraId="000000E4" w14:textId="77777777" w:rsidR="00546EC1" w:rsidRPr="00BA2938" w:rsidRDefault="00000000" w:rsidP="00BA2938">
            <w:pPr>
              <w:widowControl w:val="0"/>
              <w:spacing w:after="0" w:line="240" w:lineRule="auto"/>
              <w:ind w:left="149" w:right="139"/>
              <w:jc w:val="both"/>
              <w:rPr>
                <w:rFonts w:ascii="Titillium Web" w:hAnsi="Titillium Web"/>
                <w:b/>
                <w:sz w:val="20"/>
                <w:szCs w:val="20"/>
                <w:u w:val="single"/>
              </w:rPr>
            </w:pPr>
            <w:r w:rsidRPr="00BA2938">
              <w:rPr>
                <w:rFonts w:ascii="Titillium Web" w:hAnsi="Titillium Web"/>
                <w:sz w:val="20"/>
                <w:szCs w:val="20"/>
              </w:rPr>
              <w:t xml:space="preserve">This is the risk associated with the issuer of a debenture/bond or a Money Market Instrument defaulting on coupon payments or in paying back the principal amount on maturity. Even when there is no default, the price of a security may change with expected changes in the credit rating of the issuer. It is to be noted here that a Government Security is a sovereign security and is the safest. Corporate bonds carry a higher amount of credit risk than Government Securities. Within corporate bonds also there are different levels of </w:t>
            </w:r>
            <w:proofErr w:type="gramStart"/>
            <w:r w:rsidRPr="00BA2938">
              <w:rPr>
                <w:rFonts w:ascii="Titillium Web" w:hAnsi="Titillium Web"/>
                <w:sz w:val="20"/>
                <w:szCs w:val="20"/>
              </w:rPr>
              <w:t>safety</w:t>
            </w:r>
            <w:proofErr w:type="gramEnd"/>
            <w:r w:rsidRPr="00BA2938">
              <w:rPr>
                <w:rFonts w:ascii="Titillium Web" w:hAnsi="Titillium Web"/>
                <w:sz w:val="20"/>
                <w:szCs w:val="20"/>
              </w:rPr>
              <w:t xml:space="preserve"> and a bond rated higher by a particular rating agency is safer than a bond rated lower by the same rating agency.</w:t>
            </w:r>
          </w:p>
        </w:tc>
        <w:tc>
          <w:tcPr>
            <w:tcW w:w="4960" w:type="dxa"/>
            <w:tcBorders>
              <w:top w:val="single" w:sz="4" w:space="0" w:color="000000"/>
              <w:left w:val="single" w:sz="4" w:space="0" w:color="000000"/>
              <w:bottom w:val="single" w:sz="4" w:space="0" w:color="000000"/>
              <w:right w:val="single" w:sz="4" w:space="0" w:color="000000"/>
            </w:tcBorders>
          </w:tcPr>
          <w:p w14:paraId="000000E5" w14:textId="77777777" w:rsidR="00546EC1" w:rsidRPr="00BA2938" w:rsidRDefault="00000000" w:rsidP="00BA2938">
            <w:pPr>
              <w:widowControl w:val="0"/>
              <w:spacing w:after="0" w:line="240" w:lineRule="auto"/>
              <w:ind w:left="149" w:right="139"/>
              <w:jc w:val="both"/>
              <w:rPr>
                <w:rFonts w:ascii="Titillium Web" w:hAnsi="Titillium Web"/>
                <w:sz w:val="20"/>
                <w:szCs w:val="20"/>
              </w:rPr>
            </w:pPr>
            <w:r w:rsidRPr="00BA2938">
              <w:rPr>
                <w:rFonts w:ascii="Titillium Web" w:hAnsi="Titillium Web"/>
                <w:sz w:val="20"/>
                <w:szCs w:val="20"/>
              </w:rPr>
              <w:t xml:space="preserve">The Investment Team would follow a </w:t>
            </w:r>
            <w:proofErr w:type="gramStart"/>
            <w:r w:rsidRPr="00BA2938">
              <w:rPr>
                <w:rFonts w:ascii="Titillium Web" w:hAnsi="Titillium Web"/>
                <w:sz w:val="20"/>
                <w:szCs w:val="20"/>
              </w:rPr>
              <w:t>bottom up</w:t>
            </w:r>
            <w:proofErr w:type="gramEnd"/>
            <w:r w:rsidRPr="00BA2938">
              <w:rPr>
                <w:rFonts w:ascii="Titillium Web" w:hAnsi="Titillium Web"/>
                <w:sz w:val="20"/>
                <w:szCs w:val="20"/>
              </w:rPr>
              <w:t xml:space="preserve"> approach to create a debt Investment universe. The investment team would carry out rigorous in depth </w:t>
            </w:r>
            <w:proofErr w:type="gramStart"/>
            <w:r w:rsidRPr="00BA2938">
              <w:rPr>
                <w:rFonts w:ascii="Titillium Web" w:hAnsi="Titillium Web"/>
                <w:sz w:val="20"/>
                <w:szCs w:val="20"/>
              </w:rPr>
              <w:t>credit  evaluation</w:t>
            </w:r>
            <w:proofErr w:type="gramEnd"/>
            <w:r w:rsidRPr="00BA2938">
              <w:rPr>
                <w:rFonts w:ascii="Titillium Web" w:hAnsi="Titillium Web"/>
                <w:sz w:val="20"/>
                <w:szCs w:val="20"/>
              </w:rPr>
              <w:t xml:space="preserve">  of  the  money  market  and  debt  instruments  the  scheme proposes  to invest in. The credit evaluation will essentially be a </w:t>
            </w:r>
            <w:proofErr w:type="gramStart"/>
            <w:r w:rsidRPr="00BA2938">
              <w:rPr>
                <w:rFonts w:ascii="Titillium Web" w:hAnsi="Titillium Web"/>
                <w:sz w:val="20"/>
                <w:szCs w:val="20"/>
              </w:rPr>
              <w:t>bottom  up</w:t>
            </w:r>
            <w:proofErr w:type="gramEnd"/>
            <w:r w:rsidRPr="00BA2938">
              <w:rPr>
                <w:rFonts w:ascii="Titillium Web" w:hAnsi="Titillium Web"/>
                <w:sz w:val="20"/>
                <w:szCs w:val="20"/>
              </w:rPr>
              <w:t xml:space="preserve"> approach and include a study of the operating environment of the issuer, the past track record as well as the future prospects of the issuer and the short term  /  long  term  financial  health  of  the  issuer.  Data from external Credit Rating Agencies like CRISIL, ICRA, FITCH and CARE would be </w:t>
            </w:r>
            <w:proofErr w:type="gramStart"/>
            <w:r w:rsidRPr="00BA2938">
              <w:rPr>
                <w:rFonts w:ascii="Titillium Web" w:hAnsi="Titillium Web"/>
                <w:sz w:val="20"/>
                <w:szCs w:val="20"/>
              </w:rPr>
              <w:t>taken into account</w:t>
            </w:r>
            <w:proofErr w:type="gramEnd"/>
            <w:r w:rsidRPr="00BA2938">
              <w:rPr>
                <w:rFonts w:ascii="Titillium Web" w:hAnsi="Titillium Web"/>
                <w:sz w:val="20"/>
                <w:szCs w:val="20"/>
              </w:rPr>
              <w:t xml:space="preserve"> while constructing this universe. This universe would be constantly monitored by the Investment Committee which would recommend any additions/ deletions from the investment universe.</w:t>
            </w:r>
          </w:p>
        </w:tc>
      </w:tr>
      <w:tr w:rsidR="00546EC1" w:rsidRPr="00BA2938" w14:paraId="0B53AF68" w14:textId="77777777">
        <w:trPr>
          <w:trHeight w:val="956"/>
        </w:trPr>
        <w:tc>
          <w:tcPr>
            <w:tcW w:w="4400" w:type="dxa"/>
            <w:tcBorders>
              <w:top w:val="single" w:sz="4" w:space="0" w:color="000000"/>
              <w:left w:val="single" w:sz="4" w:space="0" w:color="000000"/>
              <w:bottom w:val="single" w:sz="4" w:space="0" w:color="000000"/>
              <w:right w:val="single" w:sz="4" w:space="0" w:color="000000"/>
            </w:tcBorders>
          </w:tcPr>
          <w:p w14:paraId="000000E6" w14:textId="77777777" w:rsidR="00546EC1" w:rsidRPr="00BA2938" w:rsidRDefault="00000000" w:rsidP="00BA2938">
            <w:pPr>
              <w:widowControl w:val="0"/>
              <w:spacing w:after="0" w:line="240" w:lineRule="auto"/>
              <w:ind w:left="149" w:right="139"/>
              <w:jc w:val="both"/>
              <w:rPr>
                <w:rFonts w:ascii="Titillium Web" w:hAnsi="Titillium Web"/>
                <w:sz w:val="20"/>
                <w:szCs w:val="20"/>
              </w:rPr>
            </w:pPr>
            <w:r w:rsidRPr="00BA2938">
              <w:rPr>
                <w:rFonts w:ascii="Titillium Web" w:hAnsi="Titillium Web"/>
                <w:b/>
                <w:sz w:val="20"/>
                <w:szCs w:val="20"/>
                <w:u w:val="single"/>
              </w:rPr>
              <w:t>Liquidity Risk</w:t>
            </w:r>
          </w:p>
          <w:p w14:paraId="000000E7" w14:textId="77777777" w:rsidR="00546EC1" w:rsidRPr="00BA2938" w:rsidRDefault="00000000" w:rsidP="00BA2938">
            <w:pPr>
              <w:widowControl w:val="0"/>
              <w:spacing w:after="0" w:line="240" w:lineRule="auto"/>
              <w:ind w:left="149" w:right="139"/>
              <w:jc w:val="both"/>
              <w:rPr>
                <w:rFonts w:ascii="Titillium Web" w:hAnsi="Titillium Web"/>
                <w:b/>
                <w:sz w:val="20"/>
                <w:szCs w:val="20"/>
                <w:u w:val="single"/>
              </w:rPr>
            </w:pPr>
            <w:r w:rsidRPr="00BA2938">
              <w:rPr>
                <w:rFonts w:ascii="Titillium Web" w:hAnsi="Titillium Web"/>
                <w:sz w:val="20"/>
                <w:szCs w:val="20"/>
              </w:rPr>
              <w:t>The liquidity of a bond may change, depending on market conditions leading to changes in the liquidity premium attached to the price of the bond. At the time of selling the security, the security can become illiquid, leading to loss in value of the portfolio.</w:t>
            </w:r>
          </w:p>
        </w:tc>
        <w:tc>
          <w:tcPr>
            <w:tcW w:w="4960" w:type="dxa"/>
            <w:tcBorders>
              <w:top w:val="single" w:sz="4" w:space="0" w:color="000000"/>
              <w:left w:val="single" w:sz="4" w:space="0" w:color="000000"/>
              <w:bottom w:val="single" w:sz="4" w:space="0" w:color="000000"/>
              <w:right w:val="single" w:sz="4" w:space="0" w:color="000000"/>
            </w:tcBorders>
            <w:vAlign w:val="bottom"/>
          </w:tcPr>
          <w:p w14:paraId="000000E8" w14:textId="77777777" w:rsidR="00546EC1" w:rsidRPr="00BA2938" w:rsidRDefault="00000000" w:rsidP="00BA2938">
            <w:pPr>
              <w:widowControl w:val="0"/>
              <w:spacing w:after="0" w:line="240" w:lineRule="auto"/>
              <w:ind w:left="149" w:right="139"/>
              <w:jc w:val="both"/>
              <w:rPr>
                <w:rFonts w:ascii="Titillium Web" w:hAnsi="Titillium Web"/>
                <w:sz w:val="20"/>
                <w:szCs w:val="20"/>
              </w:rPr>
            </w:pPr>
            <w:r w:rsidRPr="00BA2938">
              <w:rPr>
                <w:rFonts w:ascii="Titillium Web" w:hAnsi="Titillium Web"/>
                <w:sz w:val="20"/>
                <w:szCs w:val="20"/>
              </w:rPr>
              <w:t xml:space="preserve">The   Fund   Manager   would   maintain   adequate   cash/cash   equivalent securities to manage the </w:t>
            </w:r>
            <w:proofErr w:type="gramStart"/>
            <w:r w:rsidRPr="00BA2938">
              <w:rPr>
                <w:rFonts w:ascii="Titillium Web" w:hAnsi="Titillium Web"/>
                <w:sz w:val="20"/>
                <w:szCs w:val="20"/>
              </w:rPr>
              <w:t>day to day</w:t>
            </w:r>
            <w:proofErr w:type="gramEnd"/>
            <w:r w:rsidRPr="00BA2938">
              <w:rPr>
                <w:rFonts w:ascii="Titillium Web" w:hAnsi="Titillium Web"/>
                <w:sz w:val="20"/>
                <w:szCs w:val="20"/>
              </w:rPr>
              <w:t xml:space="preserve"> redemptions of the fund. Attention would </w:t>
            </w:r>
            <w:proofErr w:type="gramStart"/>
            <w:r w:rsidRPr="00BA2938">
              <w:rPr>
                <w:rFonts w:ascii="Titillium Web" w:hAnsi="Titillium Web"/>
                <w:sz w:val="20"/>
                <w:szCs w:val="20"/>
              </w:rPr>
              <w:t>be  given</w:t>
            </w:r>
            <w:proofErr w:type="gramEnd"/>
            <w:r w:rsidRPr="00BA2938">
              <w:rPr>
                <w:rFonts w:ascii="Titillium Web" w:hAnsi="Titillium Web"/>
                <w:sz w:val="20"/>
                <w:szCs w:val="20"/>
              </w:rPr>
              <w:t xml:space="preserve">  to  the  historic  redemption  trends  while  deciding  on  the  cash equivalent component of the portfolios. </w:t>
            </w:r>
            <w:proofErr w:type="gramStart"/>
            <w:r w:rsidRPr="00BA2938">
              <w:rPr>
                <w:rFonts w:ascii="Titillium Web" w:hAnsi="Titillium Web"/>
                <w:sz w:val="20"/>
                <w:szCs w:val="20"/>
              </w:rPr>
              <w:t>Also</w:t>
            </w:r>
            <w:proofErr w:type="gramEnd"/>
            <w:r w:rsidRPr="00BA2938">
              <w:rPr>
                <w:rFonts w:ascii="Titillium Web" w:hAnsi="Titillium Web"/>
                <w:sz w:val="20"/>
                <w:szCs w:val="20"/>
              </w:rPr>
              <w:t xml:space="preserve"> the Fund Manager and Dealer would be keeping track of various securities being traded in the market and would </w:t>
            </w:r>
            <w:r w:rsidRPr="00BA2938">
              <w:rPr>
                <w:rFonts w:ascii="Titillium Web" w:hAnsi="Titillium Web"/>
                <w:sz w:val="20"/>
                <w:szCs w:val="20"/>
              </w:rPr>
              <w:lastRenderedPageBreak/>
              <w:t>strive to keep the component of illiquid securities in the portfolio at a low percentage of the total portfolio.</w:t>
            </w:r>
          </w:p>
        </w:tc>
      </w:tr>
    </w:tbl>
    <w:p w14:paraId="000000E9" w14:textId="69DA9A2F" w:rsidR="00BA2938" w:rsidRDefault="00BA2938" w:rsidP="00BA2938">
      <w:pPr>
        <w:spacing w:after="0" w:line="240" w:lineRule="auto"/>
        <w:jc w:val="both"/>
        <w:rPr>
          <w:rFonts w:ascii="Titillium Web" w:hAnsi="Titillium Web"/>
          <w:sz w:val="20"/>
          <w:szCs w:val="20"/>
        </w:rPr>
      </w:pPr>
    </w:p>
    <w:p w14:paraId="0259E7B4" w14:textId="77777777" w:rsidR="00BA2938" w:rsidRDefault="00BA2938">
      <w:pPr>
        <w:rPr>
          <w:rFonts w:ascii="Titillium Web" w:hAnsi="Titillium Web"/>
          <w:sz w:val="20"/>
          <w:szCs w:val="20"/>
        </w:rPr>
      </w:pPr>
      <w:r>
        <w:rPr>
          <w:rFonts w:ascii="Titillium Web" w:hAnsi="Titillium Web"/>
          <w:sz w:val="20"/>
          <w:szCs w:val="20"/>
        </w:rPr>
        <w:br w:type="page"/>
      </w:r>
    </w:p>
    <w:p w14:paraId="5CDB7313" w14:textId="77777777" w:rsidR="00546EC1" w:rsidRPr="00BA2938" w:rsidRDefault="00546EC1" w:rsidP="00BA2938">
      <w:pPr>
        <w:spacing w:after="0" w:line="240" w:lineRule="auto"/>
        <w:jc w:val="both"/>
        <w:rPr>
          <w:rFonts w:ascii="Titillium Web" w:hAnsi="Titillium Web"/>
          <w:sz w:val="20"/>
          <w:szCs w:val="20"/>
        </w:rPr>
      </w:pPr>
    </w:p>
    <w:p w14:paraId="000000EA" w14:textId="77777777" w:rsidR="00546EC1" w:rsidRDefault="00000000" w:rsidP="00FA14F4">
      <w:pPr>
        <w:pStyle w:val="Heading1"/>
        <w:spacing w:before="0" w:line="240" w:lineRule="auto"/>
        <w:jc w:val="center"/>
        <w:rPr>
          <w:rFonts w:ascii="Titillium Web" w:eastAsia="Calibri" w:hAnsi="Titillium Web" w:cs="Calibri"/>
          <w:b/>
          <w:color w:val="000000"/>
          <w:sz w:val="28"/>
          <w:szCs w:val="28"/>
        </w:rPr>
      </w:pPr>
      <w:bookmarkStart w:id="6" w:name="_heading=h.fwt2u7tuue9i" w:colFirst="0" w:colLast="0"/>
      <w:bookmarkEnd w:id="6"/>
      <w:r w:rsidRPr="00BA2938">
        <w:rPr>
          <w:rFonts w:ascii="Titillium Web" w:eastAsia="Calibri" w:hAnsi="Titillium Web" w:cs="Calibri"/>
          <w:b/>
          <w:color w:val="000000"/>
          <w:sz w:val="28"/>
          <w:szCs w:val="28"/>
        </w:rPr>
        <w:t>Navi Nifty Bank Index Fund</w:t>
      </w:r>
    </w:p>
    <w:p w14:paraId="05236BEE" w14:textId="77777777" w:rsidR="00BA2938" w:rsidRPr="00BA2938" w:rsidRDefault="00BA2938" w:rsidP="00BA2938"/>
    <w:p w14:paraId="000000EB"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Scheme Specific Risk Factors</w:t>
      </w:r>
    </w:p>
    <w:p w14:paraId="000000EC" w14:textId="77777777" w:rsidR="00546EC1" w:rsidRPr="00BA2938" w:rsidRDefault="00546EC1" w:rsidP="00BA2938">
      <w:pPr>
        <w:spacing w:after="0" w:line="240" w:lineRule="auto"/>
        <w:jc w:val="both"/>
        <w:rPr>
          <w:rFonts w:ascii="Titillium Web" w:hAnsi="Titillium Web"/>
          <w:b/>
          <w:sz w:val="20"/>
          <w:szCs w:val="20"/>
        </w:rPr>
      </w:pPr>
    </w:p>
    <w:p w14:paraId="000000ED"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associated with Equity and Equity Related Instruments:</w:t>
      </w:r>
    </w:p>
    <w:p w14:paraId="000000E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Investments in equity and equity related instruments involve a degree of risk, both company specific and market risks and thus investors should not invest in the Scheme unless they can afford to take the risk of losing their investment.</w:t>
      </w:r>
    </w:p>
    <w:p w14:paraId="000000EF" w14:textId="77777777" w:rsidR="00546EC1" w:rsidRPr="00BA2938" w:rsidRDefault="00546EC1" w:rsidP="00BA2938">
      <w:pPr>
        <w:spacing w:after="0" w:line="240" w:lineRule="auto"/>
        <w:jc w:val="both"/>
        <w:rPr>
          <w:rFonts w:ascii="Titillium Web" w:hAnsi="Titillium Web"/>
          <w:sz w:val="20"/>
          <w:szCs w:val="20"/>
        </w:rPr>
      </w:pPr>
    </w:p>
    <w:p w14:paraId="000000F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will invest in equity and equity related securities diversified over various sectors.  Thus, any price fluctuation for these securities may adversely affect the NAV of the units issued under the Scheme. The same may also lead to out-performance or under-performance of the scheme against Nifty Bank which is the benchmark index for the scheme.</w:t>
      </w:r>
    </w:p>
    <w:p w14:paraId="000000F1" w14:textId="77777777" w:rsidR="00546EC1" w:rsidRPr="00BA2938" w:rsidRDefault="00546EC1" w:rsidP="00BA2938">
      <w:pPr>
        <w:spacing w:after="0" w:line="240" w:lineRule="auto"/>
        <w:jc w:val="both"/>
        <w:rPr>
          <w:rFonts w:ascii="Titillium Web" w:hAnsi="Titillium Web"/>
          <w:sz w:val="20"/>
          <w:szCs w:val="20"/>
        </w:rPr>
      </w:pPr>
    </w:p>
    <w:p w14:paraId="000000F2"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Equity and Equity Related Instruments by nature are volatile and prone to price fluctuations </w:t>
      </w:r>
      <w:proofErr w:type="gramStart"/>
      <w:r w:rsidRPr="00BA2938">
        <w:rPr>
          <w:rFonts w:ascii="Titillium Web" w:hAnsi="Titillium Web"/>
          <w:sz w:val="20"/>
          <w:szCs w:val="20"/>
        </w:rPr>
        <w:t>on a daily basis</w:t>
      </w:r>
      <w:proofErr w:type="gramEnd"/>
      <w:r w:rsidRPr="00BA2938">
        <w:rPr>
          <w:rFonts w:ascii="Titillium Web" w:hAnsi="Titillium Web"/>
          <w:sz w:val="20"/>
          <w:szCs w:val="20"/>
        </w:rPr>
        <w:t xml:space="preserve"> due to macro and micro economic factors. The value of Equity and Equity Related Instruments may fluctuate due to factors affecting the securities markets such as volume and volatility in the capital markets, interest rates, currency exchange rates, changes in law/policies of the Government, taxation laws, political, economic or other developments, which may have an adverse impact on individual securities, a specific sector or all sectors. Consequently, the NAV of the Units issued under the Scheme may be adversely affected.</w:t>
      </w:r>
    </w:p>
    <w:p w14:paraId="000000F3" w14:textId="77777777" w:rsidR="00546EC1" w:rsidRPr="00BA2938" w:rsidRDefault="00546EC1" w:rsidP="00BA2938">
      <w:pPr>
        <w:spacing w:after="0" w:line="240" w:lineRule="auto"/>
        <w:jc w:val="both"/>
        <w:rPr>
          <w:rFonts w:ascii="Titillium Web" w:hAnsi="Titillium Web"/>
          <w:sz w:val="20"/>
          <w:szCs w:val="20"/>
        </w:rPr>
      </w:pPr>
    </w:p>
    <w:p w14:paraId="000000F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Equity and Equity Related Instruments listed on the stock exchange carry lower liquidity risk; </w:t>
      </w:r>
      <w:proofErr w:type="gramStart"/>
      <w:r w:rsidRPr="00BA2938">
        <w:rPr>
          <w:rFonts w:ascii="Titillium Web" w:hAnsi="Titillium Web"/>
          <w:sz w:val="20"/>
          <w:szCs w:val="20"/>
        </w:rPr>
        <w:t>however</w:t>
      </w:r>
      <w:proofErr w:type="gramEnd"/>
      <w:r w:rsidRPr="00BA2938">
        <w:rPr>
          <w:rFonts w:ascii="Titillium Web" w:hAnsi="Titillium Web"/>
          <w:sz w:val="20"/>
          <w:szCs w:val="20"/>
        </w:rPr>
        <w:t xml:space="preserve"> the Scheme’s ability to sell these investments is limited by the overall trading volume on the stock exchanges. In certain cases, settlement periods may be extended significantly by unforeseen circumstances. The inability of the Scheme to make intended securities purchases due to settlement problems could cause the Scheme to miss certain investment opportunities. Similarly, the inability to sell securities held in the Scheme's portfolio may result, at times, in potential losses to the Scheme, should there be a subsequent decline in the value of securities held in the Scheme's portfolio.</w:t>
      </w:r>
    </w:p>
    <w:p w14:paraId="000000F5" w14:textId="77777777" w:rsidR="00546EC1" w:rsidRPr="00BA2938" w:rsidRDefault="00546EC1" w:rsidP="00BA2938">
      <w:pPr>
        <w:spacing w:after="0" w:line="240" w:lineRule="auto"/>
        <w:jc w:val="both"/>
        <w:rPr>
          <w:rFonts w:ascii="Titillium Web" w:hAnsi="Titillium Web"/>
          <w:sz w:val="20"/>
          <w:szCs w:val="20"/>
        </w:rPr>
      </w:pPr>
    </w:p>
    <w:p w14:paraId="000000F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Scheme may invest in securities which are not listed on the stock exchanges. These securities may be illiquid in nature and carry a higher amount of liquidity risk, in comparison to securities that are listed on the stock exchanges or offer other exit options to the investor. The liquidity and valuation of the Scheme's investments due to its holdings of unlisted securities may be affected if they </w:t>
      </w:r>
      <w:proofErr w:type="gramStart"/>
      <w:r w:rsidRPr="00BA2938">
        <w:rPr>
          <w:rFonts w:ascii="Titillium Web" w:hAnsi="Titillium Web"/>
          <w:sz w:val="20"/>
          <w:szCs w:val="20"/>
        </w:rPr>
        <w:t>have to</w:t>
      </w:r>
      <w:proofErr w:type="gramEnd"/>
      <w:r w:rsidRPr="00BA2938">
        <w:rPr>
          <w:rFonts w:ascii="Titillium Web" w:hAnsi="Titillium Web"/>
          <w:sz w:val="20"/>
          <w:szCs w:val="20"/>
        </w:rPr>
        <w:t xml:space="preserve"> be sold prior to the target date of disinvestment.</w:t>
      </w:r>
    </w:p>
    <w:p w14:paraId="000000F7" w14:textId="77777777" w:rsidR="00546EC1" w:rsidRPr="00BA2938" w:rsidRDefault="00546EC1" w:rsidP="00BA2938">
      <w:pPr>
        <w:spacing w:after="0" w:line="240" w:lineRule="auto"/>
        <w:jc w:val="both"/>
        <w:rPr>
          <w:rFonts w:ascii="Titillium Web" w:hAnsi="Titillium Web"/>
          <w:sz w:val="20"/>
          <w:szCs w:val="20"/>
        </w:rPr>
      </w:pPr>
    </w:p>
    <w:p w14:paraId="000000F8"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Risks of Total Return </w:t>
      </w:r>
    </w:p>
    <w:p w14:paraId="000000F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Dividends are assumed to be reinvested into the Nifty Bank Index after the ex-dividend date of the constituents. However, in practice, the dividend is received with a lag. This can lead to some tracking error.</w:t>
      </w:r>
    </w:p>
    <w:p w14:paraId="000000FA" w14:textId="77777777" w:rsidR="00546EC1" w:rsidRPr="00BA2938" w:rsidRDefault="00546EC1" w:rsidP="00BA2938">
      <w:pPr>
        <w:spacing w:after="0" w:line="240" w:lineRule="auto"/>
        <w:jc w:val="both"/>
        <w:rPr>
          <w:rFonts w:ascii="Titillium Web" w:hAnsi="Titillium Web"/>
          <w:sz w:val="20"/>
          <w:szCs w:val="20"/>
        </w:rPr>
      </w:pPr>
    </w:p>
    <w:p w14:paraId="000000FB"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lastRenderedPageBreak/>
        <w:t>Index Fund Risk</w:t>
      </w:r>
    </w:p>
    <w:p w14:paraId="000000F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being an index scheme follows a passive investment technique and shall only invest in Securities comprising one selected index as per investment objective of the Scheme. The Fund Manager would invest in the Securities comprising the underlying index irrespective of the market conditions. If the Securities market declines, the value of the investment held by the Scheme shall decrease.</w:t>
      </w:r>
    </w:p>
    <w:p w14:paraId="000000FD" w14:textId="77777777" w:rsidR="00546EC1" w:rsidRPr="00BA2938" w:rsidRDefault="00546EC1" w:rsidP="00BA2938">
      <w:pPr>
        <w:spacing w:after="0" w:line="240" w:lineRule="auto"/>
        <w:jc w:val="both"/>
        <w:rPr>
          <w:rFonts w:ascii="Titillium Web" w:hAnsi="Titillium Web"/>
          <w:sz w:val="20"/>
          <w:szCs w:val="20"/>
        </w:rPr>
      </w:pPr>
    </w:p>
    <w:p w14:paraId="000000FE"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Passive Investments </w:t>
      </w:r>
    </w:p>
    <w:p w14:paraId="000000F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is not actively managed. Since the Scheme is linked to index, it may be affected by a general decline in the Indian markets relating to its underlying index. The Scheme as per its investment objective invests in Securities which are constituents of its underlying index regardless of their investment merit. The AMC does not attempt to individually select stocks or to take defensive positions in declining markets.</w:t>
      </w:r>
    </w:p>
    <w:p w14:paraId="00000100" w14:textId="77777777" w:rsidR="00546EC1" w:rsidRPr="00BA2938" w:rsidRDefault="00546EC1" w:rsidP="00BA2938">
      <w:pPr>
        <w:tabs>
          <w:tab w:val="left" w:pos="1238"/>
        </w:tabs>
        <w:spacing w:after="0" w:line="240" w:lineRule="auto"/>
        <w:jc w:val="both"/>
        <w:rPr>
          <w:rFonts w:ascii="Titillium Web" w:hAnsi="Titillium Web"/>
          <w:b/>
          <w:sz w:val="20"/>
          <w:szCs w:val="20"/>
        </w:rPr>
      </w:pPr>
    </w:p>
    <w:p w14:paraId="00000101"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Trading through mutual fund trading platforms of BSE and/ or NSE </w:t>
      </w:r>
    </w:p>
    <w:p w14:paraId="00000102"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In respect of transaction in Units of the Scheme through BSE and/ or NSE, allotment and redemption of Units on any Business Day will depend upon the order processing/settlement by BSE and/ or NSE and their respective clearing corporations on which the Mutual Fund has no control.</w:t>
      </w:r>
    </w:p>
    <w:p w14:paraId="00000103" w14:textId="77777777" w:rsidR="00546EC1" w:rsidRPr="00BA2938" w:rsidRDefault="00546EC1" w:rsidP="00BA2938">
      <w:pPr>
        <w:spacing w:after="0" w:line="240" w:lineRule="auto"/>
        <w:jc w:val="both"/>
        <w:rPr>
          <w:rFonts w:ascii="Titillium Web" w:hAnsi="Titillium Web"/>
          <w:sz w:val="20"/>
          <w:szCs w:val="20"/>
        </w:rPr>
      </w:pPr>
    </w:p>
    <w:p w14:paraId="00000104"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associated with Fixed Income securities:</w:t>
      </w:r>
    </w:p>
    <w:p w14:paraId="00000105" w14:textId="77777777" w:rsidR="00546EC1" w:rsidRPr="00BA2938" w:rsidRDefault="00546EC1" w:rsidP="00BA2938">
      <w:pPr>
        <w:spacing w:after="0" w:line="240" w:lineRule="auto"/>
        <w:jc w:val="both"/>
        <w:rPr>
          <w:rFonts w:ascii="Titillium Web" w:hAnsi="Titillium Web"/>
          <w:sz w:val="20"/>
          <w:szCs w:val="20"/>
        </w:rPr>
      </w:pPr>
    </w:p>
    <w:p w14:paraId="0000010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following are the risks associated with investment in Fixed Income securities:</w:t>
      </w:r>
    </w:p>
    <w:p w14:paraId="00000107" w14:textId="77777777" w:rsidR="00546EC1" w:rsidRPr="00BA2938" w:rsidRDefault="00546EC1" w:rsidP="00BA2938">
      <w:pPr>
        <w:spacing w:after="0" w:line="240" w:lineRule="auto"/>
        <w:jc w:val="both"/>
        <w:rPr>
          <w:rFonts w:ascii="Titillium Web" w:hAnsi="Titillium Web"/>
          <w:sz w:val="20"/>
          <w:szCs w:val="20"/>
        </w:rPr>
      </w:pPr>
    </w:p>
    <w:p w14:paraId="0000010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Interest-Rate Risk:</w:t>
      </w:r>
      <w:r w:rsidRPr="00BA2938">
        <w:rPr>
          <w:rFonts w:ascii="Titillium Web" w:hAnsi="Titillium Web"/>
          <w:sz w:val="20"/>
          <w:szCs w:val="20"/>
        </w:rPr>
        <w:t xml:space="preserve"> Fixed income securities such as government bonds, corporate bonds, Money Market Instruments and Derivatives run price-risk or interest-rate risk. Generally, when interest rates rise, prices of existing fixed income securities fall and when interest rates drop, such prices increase. The extent of fall or rise in the prices depends upon the coupon and maturity of the security. It also depends upon the level at which the security is being traded.</w:t>
      </w:r>
    </w:p>
    <w:p w14:paraId="00000109" w14:textId="77777777" w:rsidR="00546EC1" w:rsidRPr="00BA2938" w:rsidRDefault="00546EC1" w:rsidP="00BA2938">
      <w:pPr>
        <w:spacing w:after="0" w:line="240" w:lineRule="auto"/>
        <w:jc w:val="both"/>
        <w:rPr>
          <w:rFonts w:ascii="Titillium Web" w:hAnsi="Titillium Web"/>
          <w:sz w:val="20"/>
          <w:szCs w:val="20"/>
        </w:rPr>
      </w:pPr>
    </w:p>
    <w:p w14:paraId="0000010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Re-investment Risk: </w:t>
      </w:r>
      <w:r w:rsidRPr="00BA2938">
        <w:rPr>
          <w:rFonts w:ascii="Titillium Web" w:hAnsi="Titillium Web"/>
          <w:sz w:val="20"/>
          <w:szCs w:val="20"/>
        </w:rPr>
        <w:t>Investments in fixed income securities carry re-investment risk as interest rates prevailing on the coupon payment or maturity dates may differ from the original coupon of the bond.</w:t>
      </w:r>
    </w:p>
    <w:p w14:paraId="0000010B" w14:textId="77777777" w:rsidR="00546EC1" w:rsidRPr="00BA2938" w:rsidRDefault="00546EC1" w:rsidP="00BA2938">
      <w:pPr>
        <w:spacing w:after="0" w:line="240" w:lineRule="auto"/>
        <w:jc w:val="both"/>
        <w:rPr>
          <w:rFonts w:ascii="Titillium Web" w:hAnsi="Titillium Web"/>
          <w:sz w:val="20"/>
          <w:szCs w:val="20"/>
        </w:rPr>
      </w:pPr>
    </w:p>
    <w:p w14:paraId="0000010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Basis Risk</w:t>
      </w:r>
      <w:r w:rsidRPr="00BA2938">
        <w:rPr>
          <w:rFonts w:ascii="Titillium Web" w:hAnsi="Titillium Web"/>
          <w:sz w:val="20"/>
          <w:szCs w:val="20"/>
        </w:rPr>
        <w:t>: The underlying benchmark of a floating rate security or a swap might become less active or may cease to exist and thus may not be able to capture the exact interest rate movements, leading to loss of value of the portfolio.</w:t>
      </w:r>
    </w:p>
    <w:p w14:paraId="0000010D" w14:textId="77777777" w:rsidR="00546EC1" w:rsidRPr="00BA2938" w:rsidRDefault="00546EC1" w:rsidP="00BA2938">
      <w:pPr>
        <w:spacing w:after="0" w:line="240" w:lineRule="auto"/>
        <w:jc w:val="both"/>
        <w:rPr>
          <w:rFonts w:ascii="Titillium Web" w:hAnsi="Titillium Web"/>
          <w:sz w:val="20"/>
          <w:szCs w:val="20"/>
        </w:rPr>
      </w:pPr>
    </w:p>
    <w:p w14:paraId="0000010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Spread Risk: </w:t>
      </w:r>
      <w:r w:rsidRPr="00BA2938">
        <w:rPr>
          <w:rFonts w:ascii="Titillium Web" w:hAnsi="Titillium Web"/>
          <w:sz w:val="20"/>
          <w:szCs w:val="20"/>
        </w:rPr>
        <w:t xml:space="preserve">In a floating rate </w:t>
      </w:r>
      <w:proofErr w:type="gramStart"/>
      <w:r w:rsidRPr="00BA2938">
        <w:rPr>
          <w:rFonts w:ascii="Titillium Web" w:hAnsi="Titillium Web"/>
          <w:sz w:val="20"/>
          <w:szCs w:val="20"/>
        </w:rPr>
        <w:t>security</w:t>
      </w:r>
      <w:proofErr w:type="gramEnd"/>
      <w:r w:rsidRPr="00BA2938">
        <w:rPr>
          <w:rFonts w:ascii="Titillium Web" w:hAnsi="Titillium Web"/>
          <w:sz w:val="20"/>
          <w:szCs w:val="20"/>
        </w:rPr>
        <w:t xml:space="preserve"> the coupon is expressed in terms of a spread or mark up over the benchmark rate. In the life of the security this spread may move adversely leading to loss in value of the portfolio. The yield of the underlying benchmark might not change, but the spread of the security over the underlying benchmark might increase leading to loss in value of the security.</w:t>
      </w:r>
    </w:p>
    <w:p w14:paraId="0000010F" w14:textId="77777777" w:rsidR="00546EC1" w:rsidRPr="00BA2938" w:rsidRDefault="00546EC1" w:rsidP="00BA2938">
      <w:pPr>
        <w:spacing w:after="0" w:line="240" w:lineRule="auto"/>
        <w:jc w:val="both"/>
        <w:rPr>
          <w:rFonts w:ascii="Titillium Web" w:hAnsi="Titillium Web"/>
          <w:sz w:val="20"/>
          <w:szCs w:val="20"/>
        </w:rPr>
      </w:pPr>
    </w:p>
    <w:p w14:paraId="0000011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lastRenderedPageBreak/>
        <w:t xml:space="preserve">Liquidity Risk: </w:t>
      </w:r>
      <w:r w:rsidRPr="00BA2938">
        <w:rPr>
          <w:rFonts w:ascii="Titillium Web" w:hAnsi="Titillium Web"/>
          <w:sz w:val="20"/>
          <w:szCs w:val="20"/>
        </w:rPr>
        <w:t xml:space="preserve">The liquidity of a bond may change, depending on market conditions leading to changes in the liquidity premium attached to the price of the bond. At the time of selling the security, the security can become illiquid, leading to loss in value of the portfolio. </w:t>
      </w:r>
    </w:p>
    <w:p w14:paraId="00000111" w14:textId="77777777" w:rsidR="00546EC1" w:rsidRPr="00BA2938" w:rsidRDefault="00546EC1" w:rsidP="00BA2938">
      <w:pPr>
        <w:spacing w:after="0" w:line="240" w:lineRule="auto"/>
        <w:jc w:val="both"/>
        <w:rPr>
          <w:rFonts w:ascii="Titillium Web" w:hAnsi="Titillium Web"/>
          <w:sz w:val="20"/>
          <w:szCs w:val="20"/>
        </w:rPr>
      </w:pPr>
    </w:p>
    <w:p w14:paraId="00000112"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Credit Risk: </w:t>
      </w:r>
      <w:r w:rsidRPr="00BA2938">
        <w:rPr>
          <w:rFonts w:ascii="Titillium Web" w:hAnsi="Titillium Web"/>
          <w:sz w:val="20"/>
          <w:szCs w:val="20"/>
        </w:rPr>
        <w:t xml:space="preserve">This is the risk associated with the issuer of a debenture/bond or a Money Market Instrument defaulting on coupon payments or in paying back the principal amount on maturity. Even when there is no default, the price of a security may change with expected changes in the credit rating of the issuer. It is to be noted here that a Government Security is a sovereign security and is the safest. Corporate bonds carry a higher amount of credit risk than Government Securities. Within corporate bonds also there are different levels of </w:t>
      </w:r>
      <w:proofErr w:type="gramStart"/>
      <w:r w:rsidRPr="00BA2938">
        <w:rPr>
          <w:rFonts w:ascii="Titillium Web" w:hAnsi="Titillium Web"/>
          <w:sz w:val="20"/>
          <w:szCs w:val="20"/>
        </w:rPr>
        <w:t>safety</w:t>
      </w:r>
      <w:proofErr w:type="gramEnd"/>
      <w:r w:rsidRPr="00BA2938">
        <w:rPr>
          <w:rFonts w:ascii="Titillium Web" w:hAnsi="Titillium Web"/>
          <w:sz w:val="20"/>
          <w:szCs w:val="20"/>
        </w:rPr>
        <w:t xml:space="preserve"> and a bond rated higher by a particular rating agency is safer than a bond rated lower by the same rating agency.</w:t>
      </w:r>
    </w:p>
    <w:p w14:paraId="00000113" w14:textId="77777777" w:rsidR="00546EC1" w:rsidRPr="00BA2938" w:rsidRDefault="00546EC1" w:rsidP="00BA2938">
      <w:pPr>
        <w:spacing w:after="0" w:line="240" w:lineRule="auto"/>
        <w:jc w:val="both"/>
        <w:rPr>
          <w:rFonts w:ascii="Titillium Web" w:hAnsi="Titillium Web"/>
          <w:b/>
          <w:sz w:val="20"/>
          <w:szCs w:val="20"/>
        </w:rPr>
      </w:pPr>
    </w:p>
    <w:p w14:paraId="0000011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on account of unlisted securities: </w:t>
      </w:r>
      <w:r w:rsidRPr="00BA2938">
        <w:rPr>
          <w:rFonts w:ascii="Titillium Web" w:hAnsi="Titillium Web"/>
          <w:sz w:val="20"/>
          <w:szCs w:val="20"/>
        </w:rPr>
        <w:t xml:space="preserve">The liquidity and valuation of the Scheme investments due to their holdings of unlisted securities may be affected if they </w:t>
      </w:r>
      <w:proofErr w:type="gramStart"/>
      <w:r w:rsidRPr="00BA2938">
        <w:rPr>
          <w:rFonts w:ascii="Titillium Web" w:hAnsi="Titillium Web"/>
          <w:sz w:val="20"/>
          <w:szCs w:val="20"/>
        </w:rPr>
        <w:t>have to</w:t>
      </w:r>
      <w:proofErr w:type="gramEnd"/>
      <w:r w:rsidRPr="00BA2938">
        <w:rPr>
          <w:rFonts w:ascii="Titillium Web" w:hAnsi="Titillium Web"/>
          <w:sz w:val="20"/>
          <w:szCs w:val="20"/>
        </w:rPr>
        <w:t xml:space="preserve"> be sold prior to their target date of divestment. The unlisted security can go down in value before the divestment date and selling of these securities before the divestment date can lead to losses in the portfolio.</w:t>
      </w:r>
    </w:p>
    <w:p w14:paraId="00000115" w14:textId="77777777" w:rsidR="00546EC1" w:rsidRPr="00BA2938" w:rsidRDefault="00546EC1" w:rsidP="00BA2938">
      <w:pPr>
        <w:spacing w:after="0" w:line="240" w:lineRule="auto"/>
        <w:jc w:val="both"/>
        <w:rPr>
          <w:rFonts w:ascii="Titillium Web" w:hAnsi="Titillium Web"/>
          <w:sz w:val="20"/>
          <w:szCs w:val="20"/>
        </w:rPr>
      </w:pPr>
    </w:p>
    <w:p w14:paraId="0000011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Settlement Risk: </w:t>
      </w:r>
      <w:r w:rsidRPr="00BA2938">
        <w:rPr>
          <w:rFonts w:ascii="Titillium Web" w:hAnsi="Titillium Web"/>
          <w:sz w:val="20"/>
          <w:szCs w:val="20"/>
        </w:rPr>
        <w:t>Fixed income securities run the risk of settlement which can adversely affect the ability of the fund house to swiftly execute trading strategies which can lead to adverse movements in NAV.</w:t>
      </w:r>
    </w:p>
    <w:p w14:paraId="00000117" w14:textId="77777777" w:rsidR="00546EC1" w:rsidRPr="00BA2938" w:rsidRDefault="00546EC1" w:rsidP="00BA2938">
      <w:pPr>
        <w:spacing w:after="0" w:line="240" w:lineRule="auto"/>
        <w:jc w:val="both"/>
        <w:rPr>
          <w:rFonts w:ascii="Titillium Web" w:hAnsi="Titillium Web"/>
          <w:sz w:val="20"/>
          <w:szCs w:val="20"/>
        </w:rPr>
      </w:pPr>
    </w:p>
    <w:p w14:paraId="00000118"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Risks associated with investing in Tri-Party Repos Segments </w:t>
      </w:r>
    </w:p>
    <w:p w14:paraId="00000119" w14:textId="77777777" w:rsidR="00546EC1" w:rsidRPr="00BA2938" w:rsidRDefault="00546EC1" w:rsidP="00BA2938">
      <w:pPr>
        <w:spacing w:after="0" w:line="240" w:lineRule="auto"/>
        <w:jc w:val="both"/>
        <w:rPr>
          <w:rFonts w:ascii="Titillium Web" w:hAnsi="Titillium Web"/>
          <w:b/>
          <w:sz w:val="20"/>
          <w:szCs w:val="20"/>
        </w:rPr>
      </w:pPr>
    </w:p>
    <w:p w14:paraId="0000011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mutual fund is a member of securities and Tri-Party Repos segments of the Clearing Corporation of India (CCIL). All transactions of the mutual fund in government securities and in Tri-Party Repos segments are settled centrally through the infrastructure and settlement systems provided by CCIL; </w:t>
      </w:r>
      <w:proofErr w:type="gramStart"/>
      <w:r w:rsidRPr="00BA2938">
        <w:rPr>
          <w:rFonts w:ascii="Titillium Web" w:hAnsi="Titillium Web"/>
          <w:sz w:val="20"/>
          <w:szCs w:val="20"/>
        </w:rPr>
        <w:t>thus</w:t>
      </w:r>
      <w:proofErr w:type="gramEnd"/>
      <w:r w:rsidRPr="00BA2938">
        <w:rPr>
          <w:rFonts w:ascii="Titillium Web" w:hAnsi="Titillium Web"/>
          <w:sz w:val="20"/>
          <w:szCs w:val="20"/>
        </w:rPr>
        <w:t xml:space="preserve"> reducing the settlement and counterparty risks considerably for transactions in the said segments. The members are required to contribute an amount as communicated by CCIL from time to time to the default fund maintained by CCIL as a part of the default waterfall (a loss mitigating measure of CCIL in case of default by any member in settling transactions routed through CCIL). The mutual fund is exposed to the extent of its contribution to the default fund of CCIL at any given point in time. In the event that the default waterfall is </w:t>
      </w:r>
      <w:proofErr w:type="gramStart"/>
      <w:r w:rsidRPr="00BA2938">
        <w:rPr>
          <w:rFonts w:ascii="Titillium Web" w:hAnsi="Titillium Web"/>
          <w:sz w:val="20"/>
          <w:szCs w:val="20"/>
        </w:rPr>
        <w:t>triggered</w:t>
      </w:r>
      <w:proofErr w:type="gramEnd"/>
      <w:r w:rsidRPr="00BA2938">
        <w:rPr>
          <w:rFonts w:ascii="Titillium Web" w:hAnsi="Titillium Web"/>
          <w:sz w:val="20"/>
          <w:szCs w:val="20"/>
        </w:rPr>
        <w:t xml:space="preserve"> and the contribution of the mutual fund is called upon to absorb settlement/default losses of another member by CCIL, the scheme may lose an amount equivalent to its contribution to the default fund allocated to the scheme on a pro-rata basis.</w:t>
      </w:r>
    </w:p>
    <w:p w14:paraId="0000011B" w14:textId="77777777" w:rsidR="00546EC1" w:rsidRPr="00BA2938" w:rsidRDefault="00546EC1" w:rsidP="00BA2938">
      <w:pPr>
        <w:spacing w:after="0" w:line="240" w:lineRule="auto"/>
        <w:jc w:val="both"/>
        <w:rPr>
          <w:rFonts w:ascii="Titillium Web" w:hAnsi="Titillium Web"/>
          <w:sz w:val="20"/>
          <w:szCs w:val="20"/>
        </w:rPr>
      </w:pPr>
    </w:p>
    <w:p w14:paraId="0000011C"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Tracking Error Risk </w:t>
      </w:r>
    </w:p>
    <w:p w14:paraId="0000011D" w14:textId="77777777" w:rsidR="00546EC1" w:rsidRPr="00BA2938" w:rsidRDefault="00546EC1" w:rsidP="00BA2938">
      <w:pPr>
        <w:spacing w:after="0" w:line="240" w:lineRule="auto"/>
        <w:jc w:val="both"/>
        <w:rPr>
          <w:rFonts w:ascii="Titillium Web" w:hAnsi="Titillium Web"/>
          <w:sz w:val="20"/>
          <w:szCs w:val="20"/>
        </w:rPr>
      </w:pPr>
    </w:p>
    <w:p w14:paraId="0000011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Fund Manager would not be able to invest the entire corpus exactly in the same proportion as in the underlying index due to certain factors such as the fees and expenses of the Scheme, corporate actions, cash balance and changes to the underlying index and regulatory restrictions, lack of liquidity which may result in Tracking Error. Hence it may affect AMC’s ability to achieve close correlation with the underlying index of the Scheme. The Scheme’s returns may therefore deviate from its underlying index. "Tracking Error" is defined as the standard deviation of the difference between daily returns of the underlying index and the NAV of the Scheme. The Fund Manager would monitor the Tracking Error of the Scheme on an ongoing basis and would seek to </w:t>
      </w:r>
      <w:r w:rsidRPr="00BA2938">
        <w:rPr>
          <w:rFonts w:ascii="Titillium Web" w:hAnsi="Titillium Web"/>
          <w:sz w:val="20"/>
          <w:szCs w:val="20"/>
        </w:rPr>
        <w:lastRenderedPageBreak/>
        <w:t xml:space="preserve">minimize the Tracking Error to the maximum extent possible. There can be no assurance or guarantee that the Scheme will achieve any </w:t>
      </w:r>
      <w:proofErr w:type="gramStart"/>
      <w:r w:rsidRPr="00BA2938">
        <w:rPr>
          <w:rFonts w:ascii="Titillium Web" w:hAnsi="Titillium Web"/>
          <w:sz w:val="20"/>
          <w:szCs w:val="20"/>
        </w:rPr>
        <w:t>particular level</w:t>
      </w:r>
      <w:proofErr w:type="gramEnd"/>
      <w:r w:rsidRPr="00BA2938">
        <w:rPr>
          <w:rFonts w:ascii="Titillium Web" w:hAnsi="Titillium Web"/>
          <w:sz w:val="20"/>
          <w:szCs w:val="20"/>
        </w:rPr>
        <w:t xml:space="preserve"> of Tracking Error relative to performance of the underlying Index.</w:t>
      </w:r>
    </w:p>
    <w:p w14:paraId="0000011F" w14:textId="77777777" w:rsidR="00546EC1" w:rsidRPr="00BA2938" w:rsidRDefault="00546EC1" w:rsidP="00BA2938">
      <w:pPr>
        <w:spacing w:after="0" w:line="240" w:lineRule="auto"/>
        <w:jc w:val="both"/>
        <w:rPr>
          <w:rFonts w:ascii="Titillium Web" w:hAnsi="Titillium Web"/>
          <w:sz w:val="20"/>
          <w:szCs w:val="20"/>
        </w:rPr>
      </w:pPr>
    </w:p>
    <w:p w14:paraId="00000120"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Risk Factors relating to Portfolio Rebalancing </w:t>
      </w:r>
    </w:p>
    <w:p w14:paraId="00000121" w14:textId="77777777" w:rsidR="00546EC1" w:rsidRPr="00BA2938" w:rsidRDefault="00546EC1" w:rsidP="00BA2938">
      <w:pPr>
        <w:spacing w:after="0" w:line="240" w:lineRule="auto"/>
        <w:jc w:val="both"/>
        <w:rPr>
          <w:rFonts w:ascii="Titillium Web" w:hAnsi="Titillium Web"/>
          <w:b/>
          <w:sz w:val="20"/>
          <w:szCs w:val="20"/>
        </w:rPr>
      </w:pPr>
    </w:p>
    <w:p w14:paraId="00000122" w14:textId="77777777" w:rsidR="00546EC1" w:rsidRPr="00BA2938" w:rsidRDefault="00000000" w:rsidP="00BA2938">
      <w:pPr>
        <w:spacing w:after="0" w:line="240" w:lineRule="auto"/>
        <w:jc w:val="both"/>
        <w:rPr>
          <w:rFonts w:ascii="Titillium Web" w:hAnsi="Titillium Web"/>
          <w:sz w:val="20"/>
          <w:szCs w:val="20"/>
        </w:rPr>
      </w:pPr>
      <w:proofErr w:type="gramStart"/>
      <w:r w:rsidRPr="00BA2938">
        <w:rPr>
          <w:rFonts w:ascii="Titillium Web" w:hAnsi="Titillium Web"/>
          <w:sz w:val="20"/>
          <w:szCs w:val="20"/>
        </w:rPr>
        <w:t>In the event that</w:t>
      </w:r>
      <w:proofErr w:type="gramEnd"/>
      <w:r w:rsidRPr="00BA2938">
        <w:rPr>
          <w:rFonts w:ascii="Titillium Web" w:hAnsi="Titillium Web"/>
          <w:sz w:val="20"/>
          <w:szCs w:val="20"/>
        </w:rPr>
        <w:t xml:space="preserve"> the asset allocation of the Scheme deviates from the ranges as provided in the asset allocation table in this SID, then the Fund Manager will rebalance the portfolio of the Scheme to the position indicated in the asset allocation table. However, if market conditions do not permit the Fund Manager to rebalance the portfolio of the Scheme beyond 7 </w:t>
      </w:r>
      <w:proofErr w:type="gramStart"/>
      <w:r w:rsidRPr="00BA2938">
        <w:rPr>
          <w:rFonts w:ascii="Titillium Web" w:hAnsi="Titillium Web"/>
          <w:sz w:val="20"/>
          <w:szCs w:val="20"/>
        </w:rPr>
        <w:t>days</w:t>
      </w:r>
      <w:proofErr w:type="gramEnd"/>
      <w:r w:rsidRPr="00BA2938">
        <w:rPr>
          <w:rFonts w:ascii="Titillium Web" w:hAnsi="Titillium Web"/>
          <w:sz w:val="20"/>
          <w:szCs w:val="20"/>
        </w:rPr>
        <w:t xml:space="preserve"> then the AMC would notify the Board of the Trustee Company and the Investment Committee of the AMC with appropriate justifications.</w:t>
      </w:r>
    </w:p>
    <w:p w14:paraId="00000123" w14:textId="77777777" w:rsidR="00546EC1" w:rsidRPr="00BA2938" w:rsidRDefault="00546EC1" w:rsidP="00BA2938">
      <w:pPr>
        <w:spacing w:after="0" w:line="240" w:lineRule="auto"/>
        <w:jc w:val="both"/>
        <w:rPr>
          <w:rFonts w:ascii="Titillium Web" w:hAnsi="Titillium Web"/>
          <w:sz w:val="20"/>
          <w:szCs w:val="20"/>
        </w:rPr>
      </w:pPr>
    </w:p>
    <w:p w14:paraId="00000124"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associated with Derivatives Transactions</w:t>
      </w:r>
    </w:p>
    <w:p w14:paraId="00000125" w14:textId="77777777" w:rsidR="00546EC1" w:rsidRPr="00BA2938" w:rsidRDefault="00546EC1" w:rsidP="00BA2938">
      <w:pPr>
        <w:tabs>
          <w:tab w:val="left" w:pos="900"/>
        </w:tabs>
        <w:spacing w:after="0" w:line="240" w:lineRule="auto"/>
        <w:jc w:val="both"/>
        <w:rPr>
          <w:rFonts w:ascii="Titillium Web" w:hAnsi="Titillium Web"/>
          <w:b/>
          <w:sz w:val="20"/>
          <w:szCs w:val="20"/>
        </w:rPr>
      </w:pPr>
    </w:p>
    <w:p w14:paraId="00000126" w14:textId="77777777" w:rsidR="00546EC1" w:rsidRPr="00BA2938" w:rsidRDefault="00000000" w:rsidP="00BA2938">
      <w:pPr>
        <w:tabs>
          <w:tab w:val="left" w:pos="900"/>
        </w:tabs>
        <w:spacing w:after="0" w:line="240" w:lineRule="auto"/>
        <w:jc w:val="both"/>
        <w:rPr>
          <w:rFonts w:ascii="Titillium Web" w:hAnsi="Titillium Web"/>
          <w:b/>
          <w:sz w:val="20"/>
          <w:szCs w:val="20"/>
        </w:rPr>
      </w:pPr>
      <w:r w:rsidRPr="00BA2938">
        <w:rPr>
          <w:rFonts w:ascii="Titillium Web" w:hAnsi="Titillium Web"/>
          <w:b/>
          <w:sz w:val="20"/>
          <w:szCs w:val="20"/>
        </w:rPr>
        <w:t xml:space="preserve">Systematic Risk: </w:t>
      </w:r>
      <w:r w:rsidRPr="00BA2938">
        <w:rPr>
          <w:rFonts w:ascii="Titillium Web" w:hAnsi="Titillium Web"/>
          <w:sz w:val="20"/>
          <w:szCs w:val="20"/>
        </w:rPr>
        <w:t>Systematic Risk is the risk associated with the entire market. Unlike unsystematic risk, it is not linked to a specific security or sector. Systematic risk is a market risk which can be due to macro-economic factors, news events, etc.</w:t>
      </w:r>
    </w:p>
    <w:p w14:paraId="00000127" w14:textId="77777777" w:rsidR="00546EC1" w:rsidRPr="00BA2938" w:rsidRDefault="00546EC1" w:rsidP="00BA2938">
      <w:pPr>
        <w:tabs>
          <w:tab w:val="left" w:pos="900"/>
        </w:tabs>
        <w:spacing w:after="0" w:line="240" w:lineRule="auto"/>
        <w:jc w:val="both"/>
        <w:rPr>
          <w:rFonts w:ascii="Titillium Web" w:hAnsi="Titillium Web"/>
          <w:b/>
          <w:sz w:val="20"/>
          <w:szCs w:val="20"/>
        </w:rPr>
      </w:pPr>
    </w:p>
    <w:p w14:paraId="00000128" w14:textId="77777777" w:rsidR="00546EC1" w:rsidRPr="00BA2938" w:rsidRDefault="00000000" w:rsidP="00BA2938">
      <w:pPr>
        <w:tabs>
          <w:tab w:val="left" w:pos="900"/>
        </w:tabs>
        <w:spacing w:after="0" w:line="240" w:lineRule="auto"/>
        <w:jc w:val="both"/>
        <w:rPr>
          <w:rFonts w:ascii="Titillium Web" w:hAnsi="Titillium Web"/>
          <w:sz w:val="20"/>
          <w:szCs w:val="20"/>
        </w:rPr>
      </w:pPr>
      <w:r w:rsidRPr="00BA2938">
        <w:rPr>
          <w:rFonts w:ascii="Titillium Web" w:hAnsi="Titillium Web"/>
          <w:b/>
          <w:sz w:val="20"/>
          <w:szCs w:val="20"/>
        </w:rPr>
        <w:t xml:space="preserve">Mark to Market Risk: </w:t>
      </w:r>
      <w:r w:rsidRPr="00BA2938">
        <w:rPr>
          <w:rFonts w:ascii="Titillium Web" w:hAnsi="Titillium Web"/>
          <w:sz w:val="20"/>
          <w:szCs w:val="20"/>
        </w:rPr>
        <w:t xml:space="preserve">This risk is on account of </w:t>
      </w:r>
      <w:proofErr w:type="gramStart"/>
      <w:r w:rsidRPr="00BA2938">
        <w:rPr>
          <w:rFonts w:ascii="Titillium Web" w:hAnsi="Titillium Web"/>
          <w:sz w:val="20"/>
          <w:szCs w:val="20"/>
        </w:rPr>
        <w:t>day to day</w:t>
      </w:r>
      <w:proofErr w:type="gramEnd"/>
      <w:r w:rsidRPr="00BA2938">
        <w:rPr>
          <w:rFonts w:ascii="Titillium Web" w:hAnsi="Titillium Web"/>
          <w:sz w:val="20"/>
          <w:szCs w:val="20"/>
        </w:rPr>
        <w:t xml:space="preserve"> fluctuations in the underlying Security and its derivative instrument, which can adversely impact the portfolio.</w:t>
      </w:r>
    </w:p>
    <w:p w14:paraId="00000129" w14:textId="77777777" w:rsidR="00546EC1" w:rsidRPr="00BA2938" w:rsidRDefault="00000000" w:rsidP="00BA2938">
      <w:pPr>
        <w:tabs>
          <w:tab w:val="left" w:pos="900"/>
        </w:tabs>
        <w:spacing w:after="0" w:line="240" w:lineRule="auto"/>
        <w:jc w:val="both"/>
        <w:rPr>
          <w:rFonts w:ascii="Titillium Web" w:hAnsi="Titillium Web"/>
          <w:b/>
          <w:sz w:val="20"/>
          <w:szCs w:val="20"/>
        </w:rPr>
      </w:pPr>
      <w:r w:rsidRPr="00BA2938">
        <w:rPr>
          <w:rFonts w:ascii="Titillium Web" w:hAnsi="Titillium Web"/>
          <w:b/>
          <w:sz w:val="20"/>
          <w:szCs w:val="20"/>
        </w:rPr>
        <w:tab/>
      </w:r>
    </w:p>
    <w:p w14:paraId="0000012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Credit Risk: </w:t>
      </w:r>
      <w:r w:rsidRPr="00BA2938">
        <w:rPr>
          <w:rFonts w:ascii="Titillium Web" w:hAnsi="Titillium Web"/>
          <w:sz w:val="20"/>
          <w:szCs w:val="20"/>
        </w:rPr>
        <w:t>The credit risk is the risk that the counter party will default in its obligations and is generally small as in a Derivative transaction there is generally no exchange of the principal amount.</w:t>
      </w:r>
    </w:p>
    <w:p w14:paraId="0000012B" w14:textId="77777777" w:rsidR="00546EC1" w:rsidRPr="00BA2938" w:rsidRDefault="00546EC1" w:rsidP="00BA2938">
      <w:pPr>
        <w:spacing w:after="0" w:line="240" w:lineRule="auto"/>
        <w:jc w:val="both"/>
        <w:rPr>
          <w:rFonts w:ascii="Titillium Web" w:hAnsi="Titillium Web"/>
          <w:sz w:val="20"/>
          <w:szCs w:val="20"/>
        </w:rPr>
      </w:pPr>
    </w:p>
    <w:p w14:paraId="0000012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Interest rate risk</w:t>
      </w:r>
      <w:r w:rsidRPr="00BA2938">
        <w:rPr>
          <w:rFonts w:ascii="Titillium Web" w:hAnsi="Titillium Web"/>
          <w:sz w:val="20"/>
          <w:szCs w:val="20"/>
        </w:rPr>
        <w:t>: Derivatives carry the risk of adverse changes in the price due to change in interest rates.</w:t>
      </w:r>
    </w:p>
    <w:p w14:paraId="0000012D" w14:textId="77777777" w:rsidR="00546EC1" w:rsidRPr="00BA2938" w:rsidRDefault="00546EC1" w:rsidP="00BA2938">
      <w:pPr>
        <w:spacing w:after="0" w:line="240" w:lineRule="auto"/>
        <w:jc w:val="both"/>
        <w:rPr>
          <w:rFonts w:ascii="Titillium Web" w:hAnsi="Titillium Web"/>
          <w:sz w:val="20"/>
          <w:szCs w:val="20"/>
        </w:rPr>
      </w:pPr>
    </w:p>
    <w:p w14:paraId="0000012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Basis Risk: </w:t>
      </w:r>
      <w:r w:rsidRPr="00BA2938">
        <w:rPr>
          <w:rFonts w:ascii="Titillium Web" w:hAnsi="Titillium Web"/>
          <w:sz w:val="20"/>
          <w:szCs w:val="20"/>
        </w:rPr>
        <w:t>When a security is hedged using a Derivative, the change in price of the security and the change in price of the Derivative may not be fully correlated leading to basis risk in the portfolio.</w:t>
      </w:r>
    </w:p>
    <w:p w14:paraId="0000012F" w14:textId="77777777" w:rsidR="00546EC1" w:rsidRPr="00BA2938" w:rsidRDefault="00546EC1" w:rsidP="00BA2938">
      <w:pPr>
        <w:spacing w:after="0" w:line="240" w:lineRule="auto"/>
        <w:jc w:val="both"/>
        <w:rPr>
          <w:rFonts w:ascii="Titillium Web" w:hAnsi="Titillium Web"/>
          <w:sz w:val="20"/>
          <w:szCs w:val="20"/>
        </w:rPr>
      </w:pPr>
    </w:p>
    <w:p w14:paraId="0000013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w:t>
      </w:r>
      <w:r w:rsidRPr="00BA2938">
        <w:rPr>
          <w:rFonts w:ascii="Titillium Web" w:hAnsi="Titillium Web"/>
          <w:sz w:val="20"/>
          <w:szCs w:val="20"/>
        </w:rPr>
        <w:t>During the life of the Derivative, the benchmark might become Illiquid and might not be fully capturing the interest rate changes in the market, or the selling, unwinding prices might not reflect the underlying assets, rates and indices, leading to loss of value of the portfolio.</w:t>
      </w:r>
    </w:p>
    <w:p w14:paraId="00000131" w14:textId="77777777" w:rsidR="00546EC1" w:rsidRPr="00BA2938" w:rsidRDefault="00546EC1" w:rsidP="00BA2938">
      <w:pPr>
        <w:spacing w:after="0" w:line="240" w:lineRule="auto"/>
        <w:jc w:val="both"/>
        <w:rPr>
          <w:rFonts w:ascii="Titillium Web" w:hAnsi="Titillium Web"/>
          <w:sz w:val="20"/>
          <w:szCs w:val="20"/>
        </w:rPr>
      </w:pPr>
    </w:p>
    <w:p w14:paraId="00000132"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Model Risk: </w:t>
      </w:r>
      <w:r w:rsidRPr="00BA2938">
        <w:rPr>
          <w:rFonts w:ascii="Titillium Web" w:hAnsi="Titillium Web"/>
          <w:sz w:val="20"/>
          <w:szCs w:val="20"/>
        </w:rPr>
        <w:t>The risk of mis–pricing or improper valuation of Derivatives.</w:t>
      </w:r>
    </w:p>
    <w:p w14:paraId="00000133" w14:textId="77777777" w:rsidR="00546EC1" w:rsidRPr="00BA2938" w:rsidRDefault="00546EC1" w:rsidP="00BA2938">
      <w:pPr>
        <w:spacing w:after="0" w:line="240" w:lineRule="auto"/>
        <w:jc w:val="both"/>
        <w:rPr>
          <w:rFonts w:ascii="Titillium Web" w:hAnsi="Titillium Web"/>
          <w:sz w:val="20"/>
          <w:szCs w:val="20"/>
        </w:rPr>
      </w:pPr>
    </w:p>
    <w:p w14:paraId="0000013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Trade Execution: </w:t>
      </w:r>
      <w:r w:rsidRPr="00BA2938">
        <w:rPr>
          <w:rFonts w:ascii="Titillium Web" w:hAnsi="Titillium Web"/>
          <w:sz w:val="20"/>
          <w:szCs w:val="20"/>
        </w:rPr>
        <w:t>Risk where the final execution price is different from the screen price, leading to dilution in the spreads.</w:t>
      </w:r>
    </w:p>
    <w:p w14:paraId="00000135" w14:textId="77777777" w:rsidR="00546EC1" w:rsidRPr="00BA2938" w:rsidRDefault="00546EC1" w:rsidP="00BA2938">
      <w:pPr>
        <w:spacing w:after="0" w:line="240" w:lineRule="auto"/>
        <w:jc w:val="both"/>
        <w:rPr>
          <w:rFonts w:ascii="Titillium Web" w:hAnsi="Titillium Web"/>
          <w:sz w:val="20"/>
          <w:szCs w:val="20"/>
        </w:rPr>
      </w:pPr>
    </w:p>
    <w:p w14:paraId="0000013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Systemic Risk: </w:t>
      </w:r>
      <w:r w:rsidRPr="00BA2938">
        <w:rPr>
          <w:rFonts w:ascii="Titillium Web" w:hAnsi="Titillium Web"/>
          <w:sz w:val="20"/>
          <w:szCs w:val="20"/>
        </w:rPr>
        <w:t>For Derivatives, especially OTC ones the failure of one Counter Party can put the whole system at risk and the whole system can come to a halt.</w:t>
      </w:r>
    </w:p>
    <w:p w14:paraId="00000137" w14:textId="77777777" w:rsidR="00546EC1" w:rsidRPr="00BA2938" w:rsidRDefault="00546EC1" w:rsidP="00BA2938">
      <w:pPr>
        <w:spacing w:after="0" w:line="240" w:lineRule="auto"/>
        <w:jc w:val="both"/>
        <w:rPr>
          <w:rFonts w:ascii="Titillium Web" w:hAnsi="Titillium Web"/>
          <w:sz w:val="20"/>
          <w:szCs w:val="20"/>
        </w:rPr>
      </w:pPr>
    </w:p>
    <w:p w14:paraId="0000013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lastRenderedPageBreak/>
        <w:t>The scheme may invest in various derivative products in accordance with and to the extent permitted under the regulations from time to time.</w:t>
      </w:r>
    </w:p>
    <w:p w14:paraId="00000139" w14:textId="77777777" w:rsidR="00546EC1" w:rsidRPr="00BA2938" w:rsidRDefault="00546EC1" w:rsidP="00BA2938">
      <w:pPr>
        <w:spacing w:after="0" w:line="240" w:lineRule="auto"/>
        <w:jc w:val="both"/>
        <w:rPr>
          <w:rFonts w:ascii="Titillium Web" w:hAnsi="Titillium Web"/>
          <w:sz w:val="20"/>
          <w:szCs w:val="20"/>
        </w:rPr>
      </w:pPr>
    </w:p>
    <w:p w14:paraId="0000013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Derivatives are financial contracts of pre-determined fixed duration, like stock Futures /options and index futures and options, whose values are derived from the value of an underlying primary financial instrument such as: Equities, Interest rates, Exchange rates.</w:t>
      </w:r>
    </w:p>
    <w:p w14:paraId="0000013B" w14:textId="77777777" w:rsidR="00546EC1" w:rsidRPr="00BA2938" w:rsidRDefault="00546EC1" w:rsidP="00BA2938">
      <w:pPr>
        <w:spacing w:after="0" w:line="240" w:lineRule="auto"/>
        <w:jc w:val="both"/>
        <w:rPr>
          <w:rFonts w:ascii="Titillium Web" w:hAnsi="Titillium Web"/>
          <w:sz w:val="20"/>
          <w:szCs w:val="20"/>
        </w:rPr>
      </w:pPr>
    </w:p>
    <w:p w14:paraId="0000013C"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Derivative products are specialized instruments that require investment techniques and risk analysis which are different from those associated with stocks and other traditional securities.</w:t>
      </w:r>
    </w:p>
    <w:p w14:paraId="0000013D" w14:textId="77777777" w:rsidR="00546EC1" w:rsidRPr="00BA2938" w:rsidRDefault="00546EC1" w:rsidP="00BA2938">
      <w:pPr>
        <w:spacing w:after="0" w:line="240" w:lineRule="auto"/>
        <w:jc w:val="both"/>
        <w:rPr>
          <w:rFonts w:ascii="Titillium Web" w:hAnsi="Titillium Web"/>
          <w:sz w:val="20"/>
          <w:szCs w:val="20"/>
        </w:rPr>
      </w:pPr>
    </w:p>
    <w:p w14:paraId="0000013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Derivatives are highly leveraged instruments and a small price fluctuation in the underlying can have a larger impact on its value. Thus, its use can lead to disproportionate gains or losses to the portfolio. Execution of derivatives instruments depends on the ability of the fund manager to identify good opportunities. Identification and execution of the strategies to be pursued by the fund manager involve uncertainty and decision of fund manager may not always be profitable. No assurance can be given that the fund manager will be able to identify or execute such strategies.</w:t>
      </w:r>
    </w:p>
    <w:p w14:paraId="0000013F" w14:textId="77777777" w:rsidR="00546EC1" w:rsidRPr="00BA2938" w:rsidRDefault="00546EC1" w:rsidP="00BA2938">
      <w:pPr>
        <w:spacing w:after="0" w:line="240" w:lineRule="auto"/>
        <w:jc w:val="both"/>
        <w:rPr>
          <w:rFonts w:ascii="Titillium Web" w:hAnsi="Titillium Web"/>
          <w:sz w:val="20"/>
          <w:szCs w:val="20"/>
        </w:rPr>
      </w:pPr>
    </w:p>
    <w:p w14:paraId="0000014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highlight w:val="white"/>
        </w:rPr>
        <w:t>The risks associated with the use of Derivatives are different from or possibly greater than, the risks associated with investing directly in securities and other traditional investments.</w:t>
      </w:r>
    </w:p>
    <w:p w14:paraId="00000141" w14:textId="77777777" w:rsidR="00546EC1" w:rsidRPr="00BA2938" w:rsidRDefault="00546EC1" w:rsidP="00BA2938">
      <w:pPr>
        <w:spacing w:after="0" w:line="240" w:lineRule="auto"/>
        <w:jc w:val="both"/>
        <w:rPr>
          <w:rFonts w:ascii="Titillium Web" w:hAnsi="Titillium Web"/>
          <w:sz w:val="20"/>
          <w:szCs w:val="20"/>
        </w:rPr>
      </w:pPr>
    </w:p>
    <w:p w14:paraId="00000142"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 associated with Short Selling &amp; Securities Lending</w:t>
      </w:r>
    </w:p>
    <w:p w14:paraId="00000143" w14:textId="77777777" w:rsidR="00546EC1" w:rsidRPr="00BA2938" w:rsidRDefault="00546EC1" w:rsidP="00BA2938">
      <w:pPr>
        <w:spacing w:after="0" w:line="240" w:lineRule="auto"/>
        <w:jc w:val="both"/>
        <w:rPr>
          <w:rFonts w:ascii="Titillium Web" w:hAnsi="Titillium Web"/>
          <w:b/>
          <w:sz w:val="20"/>
          <w:szCs w:val="20"/>
        </w:rPr>
      </w:pPr>
    </w:p>
    <w:p w14:paraId="0000014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Securities Lending is a lending of securities through an approved intermediary to a borrower under an agreement for a specified period with the condition that the borrower will return equivalent securities of the same type or class at the end of the specified period along with the corporate benefits accruing on the securities borrowed. There are risks inherent in securities lending, including the risk of failure of the other party, in this case the approved intermediary to comply with the terms of the agreement. Such failure can result in a possible loss of rights to the collateral, the inability of the approved intermediary to return the securities deposited by the lender and the possible loss of corporate benefits accruing thereon.</w:t>
      </w:r>
    </w:p>
    <w:p w14:paraId="00000145" w14:textId="77777777" w:rsidR="00546EC1" w:rsidRPr="00BA2938" w:rsidRDefault="00546EC1" w:rsidP="00BA2938">
      <w:pPr>
        <w:spacing w:after="0" w:line="240" w:lineRule="auto"/>
        <w:jc w:val="both"/>
        <w:rPr>
          <w:rFonts w:ascii="Titillium Web" w:hAnsi="Titillium Web"/>
          <w:sz w:val="20"/>
          <w:szCs w:val="20"/>
        </w:rPr>
      </w:pPr>
    </w:p>
    <w:p w14:paraId="00000146" w14:textId="77777777" w:rsidR="00546EC1" w:rsidRPr="00BA2938" w:rsidRDefault="00000000" w:rsidP="00BA2938">
      <w:pPr>
        <w:spacing w:after="0" w:line="240" w:lineRule="auto"/>
        <w:jc w:val="both"/>
        <w:rPr>
          <w:rFonts w:ascii="Titillium Web" w:hAnsi="Titillium Web"/>
          <w:sz w:val="20"/>
          <w:szCs w:val="20"/>
        </w:rPr>
      </w:pPr>
      <w:proofErr w:type="gramStart"/>
      <w:r w:rsidRPr="00BA2938">
        <w:rPr>
          <w:rFonts w:ascii="Titillium Web" w:hAnsi="Titillium Web"/>
          <w:sz w:val="20"/>
          <w:szCs w:val="20"/>
        </w:rPr>
        <w:t>Short-selling</w:t>
      </w:r>
      <w:proofErr w:type="gramEnd"/>
      <w:r w:rsidRPr="00BA2938">
        <w:rPr>
          <w:rFonts w:ascii="Titillium Web" w:hAnsi="Titillium Web"/>
          <w:sz w:val="20"/>
          <w:szCs w:val="20"/>
        </w:rPr>
        <w:t xml:space="preserve"> is the sale of shares or securities that the seller does not own at the time of trading.  Instead, he borrows it from someone who already owns it. Later, the short seller buys back the stock/security he shorted and returns the stock/security to the lender to close out the loan. The inherent risks are Counterparty risk and liquidity risk of the stock/security being borrowed. The security being short sold might be illiquid or become illiquid and covering of the security might occur at a much higher price level than anticipated, leading to losses.</w:t>
      </w:r>
    </w:p>
    <w:p w14:paraId="00000147" w14:textId="77777777" w:rsidR="00546EC1" w:rsidRPr="00BA2938" w:rsidRDefault="00546EC1" w:rsidP="00BA2938">
      <w:pPr>
        <w:spacing w:after="0" w:line="240" w:lineRule="auto"/>
        <w:jc w:val="both"/>
        <w:rPr>
          <w:rFonts w:ascii="Titillium Web" w:hAnsi="Titillium Web"/>
          <w:sz w:val="20"/>
          <w:szCs w:val="20"/>
        </w:rPr>
      </w:pPr>
    </w:p>
    <w:p w14:paraId="00000148"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 factor associated with segregated portfolio</w:t>
      </w:r>
    </w:p>
    <w:p w14:paraId="00000149" w14:textId="77777777" w:rsidR="00546EC1" w:rsidRPr="00BA2938" w:rsidRDefault="00546EC1" w:rsidP="00BA2938">
      <w:pPr>
        <w:spacing w:after="0" w:line="240" w:lineRule="auto"/>
        <w:jc w:val="both"/>
        <w:rPr>
          <w:rFonts w:ascii="Titillium Web" w:hAnsi="Titillium Web"/>
          <w:b/>
          <w:sz w:val="20"/>
          <w:szCs w:val="20"/>
        </w:rPr>
      </w:pPr>
    </w:p>
    <w:p w14:paraId="0000014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Investor holding units of segregated portfolio may </w:t>
      </w:r>
      <w:proofErr w:type="gramStart"/>
      <w:r w:rsidRPr="00BA2938">
        <w:rPr>
          <w:rFonts w:ascii="Titillium Web" w:hAnsi="Titillium Web"/>
          <w:sz w:val="20"/>
          <w:szCs w:val="20"/>
        </w:rPr>
        <w:t>not</w:t>
      </w:r>
      <w:proofErr w:type="gramEnd"/>
      <w:r w:rsidRPr="00BA2938">
        <w:rPr>
          <w:rFonts w:ascii="Titillium Web" w:hAnsi="Titillium Web"/>
          <w:sz w:val="20"/>
          <w:szCs w:val="20"/>
        </w:rPr>
        <w:t xml:space="preserve"> able to liquidate their holding till the time realizable value is recovered. </w:t>
      </w:r>
    </w:p>
    <w:p w14:paraId="0000014B" w14:textId="77777777" w:rsidR="00546EC1" w:rsidRPr="00BA2938" w:rsidRDefault="00546EC1" w:rsidP="00BA2938">
      <w:pPr>
        <w:spacing w:after="0" w:line="240" w:lineRule="auto"/>
        <w:jc w:val="both"/>
        <w:rPr>
          <w:rFonts w:ascii="Titillium Web" w:hAnsi="Titillium Web"/>
          <w:sz w:val="20"/>
          <w:szCs w:val="20"/>
        </w:rPr>
      </w:pPr>
    </w:p>
    <w:p w14:paraId="0000014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lastRenderedPageBreak/>
        <w:t>Security comprising of segregated portfolio may realise lower value or may realise zero value. </w:t>
      </w:r>
    </w:p>
    <w:p w14:paraId="0000014D" w14:textId="77777777" w:rsidR="00546EC1" w:rsidRPr="00BA2938" w:rsidRDefault="00546EC1" w:rsidP="00BA2938">
      <w:pPr>
        <w:spacing w:after="0" w:line="240" w:lineRule="auto"/>
        <w:jc w:val="both"/>
        <w:rPr>
          <w:rFonts w:ascii="Titillium Web" w:hAnsi="Titillium Web"/>
          <w:sz w:val="20"/>
          <w:szCs w:val="20"/>
        </w:rPr>
      </w:pPr>
    </w:p>
    <w:p w14:paraId="0000014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Listing units of segregated portfolio in recognized stock exchange does not necessarily guarantee their liquidity. There may not be active trading of units in the stock market. Further trading price of units on the stock market may be significantly lower than the prevailing NAV.   </w:t>
      </w:r>
    </w:p>
    <w:p w14:paraId="0000014F" w14:textId="77777777" w:rsidR="00546EC1" w:rsidRPr="00BA2938" w:rsidRDefault="00546EC1" w:rsidP="00BA2938">
      <w:pPr>
        <w:spacing w:after="0" w:line="240" w:lineRule="auto"/>
        <w:jc w:val="both"/>
        <w:rPr>
          <w:rFonts w:ascii="Titillium Web" w:hAnsi="Titillium Web"/>
          <w:sz w:val="20"/>
          <w:szCs w:val="20"/>
        </w:rPr>
      </w:pPr>
    </w:p>
    <w:p w14:paraId="00000150"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factors associated with investments in Repo Transactions in Corporate Bond:</w:t>
      </w:r>
    </w:p>
    <w:p w14:paraId="0000015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In repo transactions, securities are sold with the seller agreeing to buy them back at later date. The repurchase price should be greater than the original sale price, the difference effectively representing interest. A repo is economically </w:t>
      </w:r>
      <w:proofErr w:type="gramStart"/>
      <w:r w:rsidRPr="00BA2938">
        <w:rPr>
          <w:rFonts w:ascii="Titillium Web" w:hAnsi="Titillium Web"/>
          <w:sz w:val="20"/>
          <w:szCs w:val="20"/>
        </w:rPr>
        <w:t>similar to</w:t>
      </w:r>
      <w:proofErr w:type="gramEnd"/>
      <w:r w:rsidRPr="00BA2938">
        <w:rPr>
          <w:rFonts w:ascii="Titillium Web" w:hAnsi="Titillium Web"/>
          <w:sz w:val="20"/>
          <w:szCs w:val="20"/>
        </w:rPr>
        <w:t xml:space="preserve"> a secured loan, with the buyer receiving corporate debt securities as collateral to protect against default. The Scheme may invest in repo of corporate debt securities which are subject to the following risks:</w:t>
      </w:r>
    </w:p>
    <w:p w14:paraId="00000152" w14:textId="77777777" w:rsidR="00546EC1" w:rsidRPr="00BA2938" w:rsidRDefault="00546EC1" w:rsidP="00BA2938">
      <w:pPr>
        <w:spacing w:after="0" w:line="240" w:lineRule="auto"/>
        <w:jc w:val="both"/>
        <w:rPr>
          <w:rFonts w:ascii="Titillium Web" w:hAnsi="Titillium Web"/>
          <w:sz w:val="20"/>
          <w:szCs w:val="20"/>
        </w:rPr>
      </w:pPr>
    </w:p>
    <w:p w14:paraId="0000015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Counter party Risk: </w:t>
      </w:r>
      <w:r w:rsidRPr="00BA2938">
        <w:rPr>
          <w:rFonts w:ascii="Titillium Web" w:hAnsi="Titillium Web"/>
          <w:sz w:val="20"/>
          <w:szCs w:val="20"/>
        </w:rPr>
        <w:t xml:space="preserve">This refers to the inability of the seller to meet the obligation to buy back securities at the contracted price on the contracted date. The Investment Manager will endeavour to manage counterparty risk by dealing only with counterparties, having strong credit profiles, approved by our credit risk analysis team. The exposure to each counter party will be within the overall approved credit limits. Also, the counterparty risk is to an extent mitigated by taking collateral equivalent in value to the transaction after knocking off a minimum haircut on the intrinsic value of the collateral. In the event of default by the repo counterparty, the scheme shall have recourse to the corporate debt securities. </w:t>
      </w:r>
    </w:p>
    <w:p w14:paraId="00000154" w14:textId="77777777" w:rsidR="00546EC1" w:rsidRPr="00BA2938" w:rsidRDefault="00546EC1" w:rsidP="00BA2938">
      <w:pPr>
        <w:spacing w:after="0" w:line="240" w:lineRule="auto"/>
        <w:jc w:val="both"/>
        <w:rPr>
          <w:rFonts w:ascii="Titillium Web" w:hAnsi="Titillium Web"/>
          <w:sz w:val="20"/>
          <w:szCs w:val="20"/>
        </w:rPr>
      </w:pPr>
    </w:p>
    <w:p w14:paraId="0000015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Collateral Risk: </w:t>
      </w:r>
      <w:r w:rsidRPr="00BA2938">
        <w:rPr>
          <w:rFonts w:ascii="Titillium Web" w:hAnsi="Titillium Web"/>
          <w:sz w:val="20"/>
          <w:szCs w:val="20"/>
        </w:rPr>
        <w:t xml:space="preserve">Collateral risk arises when the market value of the securities is inadequate to meet the repo obligations. This risk is mitigated by restricting participation in repo transactions only in AA or equivalent and above rated money market and corporate debt securities. Any rating downgrade </w:t>
      </w:r>
      <w:proofErr w:type="gramStart"/>
      <w:r w:rsidRPr="00BA2938">
        <w:rPr>
          <w:rFonts w:ascii="Titillium Web" w:hAnsi="Titillium Web"/>
          <w:sz w:val="20"/>
          <w:szCs w:val="20"/>
        </w:rPr>
        <w:t>will</w:t>
      </w:r>
      <w:proofErr w:type="gramEnd"/>
      <w:r w:rsidRPr="00BA2938">
        <w:rPr>
          <w:rFonts w:ascii="Titillium Web" w:hAnsi="Titillium Web"/>
          <w:sz w:val="20"/>
          <w:szCs w:val="20"/>
        </w:rPr>
        <w:t xml:space="preserve"> tantamount to either an early termination of the repo agreement or a call for fresh margin to meet the minimum haircut requirement. In addition, the Investment manager may apply a higher haircut on the underlying security than mentioned above to adjust for the illiquidity and interest rate risk on the underlying instrument. The adequacy of the collateral will be monitored </w:t>
      </w:r>
      <w:proofErr w:type="gramStart"/>
      <w:r w:rsidRPr="00BA2938">
        <w:rPr>
          <w:rFonts w:ascii="Titillium Web" w:hAnsi="Titillium Web"/>
          <w:sz w:val="20"/>
          <w:szCs w:val="20"/>
        </w:rPr>
        <w:t>on a daily basis</w:t>
      </w:r>
      <w:proofErr w:type="gramEnd"/>
      <w:r w:rsidRPr="00BA2938">
        <w:rPr>
          <w:rFonts w:ascii="Titillium Web" w:hAnsi="Titillium Web"/>
          <w:sz w:val="20"/>
          <w:szCs w:val="20"/>
        </w:rPr>
        <w:t xml:space="preserve"> by considering the daily market value &amp; applying the prescribed haircut. The fund manager shall then arrange for additional collateral from the counterparty, within a period of 1 business day. If the counterparty is not able to top-up either in form of cash / collateral, it </w:t>
      </w:r>
      <w:proofErr w:type="gramStart"/>
      <w:r w:rsidRPr="00BA2938">
        <w:rPr>
          <w:rFonts w:ascii="Titillium Web" w:hAnsi="Titillium Web"/>
          <w:sz w:val="20"/>
          <w:szCs w:val="20"/>
        </w:rPr>
        <w:t>shall</w:t>
      </w:r>
      <w:proofErr w:type="gramEnd"/>
      <w:r w:rsidRPr="00BA2938">
        <w:rPr>
          <w:rFonts w:ascii="Titillium Web" w:hAnsi="Titillium Web"/>
          <w:sz w:val="20"/>
          <w:szCs w:val="20"/>
        </w:rPr>
        <w:t xml:space="preserve"> tantamount to early termination of the repo agreement.</w:t>
      </w:r>
    </w:p>
    <w:p w14:paraId="00000156" w14:textId="77777777" w:rsidR="00546EC1" w:rsidRPr="00BA2938" w:rsidRDefault="00546EC1" w:rsidP="00BA2938">
      <w:pPr>
        <w:spacing w:after="0" w:line="240" w:lineRule="auto"/>
        <w:jc w:val="both"/>
        <w:rPr>
          <w:rFonts w:ascii="Titillium Web" w:hAnsi="Titillium Web"/>
          <w:sz w:val="20"/>
          <w:szCs w:val="20"/>
        </w:rPr>
      </w:pPr>
    </w:p>
    <w:p w14:paraId="00000157"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Risk Control </w:t>
      </w:r>
    </w:p>
    <w:p w14:paraId="0000015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risk control process involves reducing risks through portfolio diversification. This diversification would help achieve the desired level of consistency in returns. The AMC aims to identify securities, which offer superior levels of yield at lower levels of risks. There would be regular rebalancing of the portfolio, </w:t>
      </w:r>
      <w:proofErr w:type="gramStart"/>
      <w:r w:rsidRPr="00BA2938">
        <w:rPr>
          <w:rFonts w:ascii="Titillium Web" w:hAnsi="Titillium Web"/>
          <w:sz w:val="20"/>
          <w:szCs w:val="20"/>
        </w:rPr>
        <w:t>taking into account</w:t>
      </w:r>
      <w:proofErr w:type="gramEnd"/>
      <w:r w:rsidRPr="00BA2938">
        <w:rPr>
          <w:rFonts w:ascii="Titillium Web" w:hAnsi="Titillium Web"/>
          <w:sz w:val="20"/>
          <w:szCs w:val="20"/>
        </w:rPr>
        <w:t xml:space="preserve"> the change in weights of stocks in the Index.</w:t>
      </w:r>
    </w:p>
    <w:p w14:paraId="00000159" w14:textId="77777777" w:rsidR="00546EC1" w:rsidRPr="00BA2938" w:rsidRDefault="00546EC1" w:rsidP="00BA2938">
      <w:pPr>
        <w:spacing w:after="0" w:line="240" w:lineRule="auto"/>
        <w:jc w:val="both"/>
        <w:rPr>
          <w:rFonts w:ascii="Titillium Web" w:hAnsi="Titillium Web"/>
          <w:sz w:val="20"/>
          <w:szCs w:val="20"/>
        </w:rPr>
      </w:pPr>
    </w:p>
    <w:p w14:paraId="0000015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Nifty Bank Index Fund being a passive investment carries lesser risk as compared to active fund management. The portfolio follows the index and therefore the level of stock concentration in the portfolio and its volatility </w:t>
      </w:r>
      <w:r w:rsidRPr="00BA2938">
        <w:rPr>
          <w:rFonts w:ascii="Titillium Web" w:hAnsi="Titillium Web"/>
          <w:sz w:val="20"/>
          <w:szCs w:val="20"/>
        </w:rPr>
        <w:lastRenderedPageBreak/>
        <w:t xml:space="preserve">would be the same as that of the index, subject to tracking error. </w:t>
      </w:r>
      <w:proofErr w:type="gramStart"/>
      <w:r w:rsidRPr="00BA2938">
        <w:rPr>
          <w:rFonts w:ascii="Titillium Web" w:hAnsi="Titillium Web"/>
          <w:sz w:val="20"/>
          <w:szCs w:val="20"/>
        </w:rPr>
        <w:t>Thus</w:t>
      </w:r>
      <w:proofErr w:type="gramEnd"/>
      <w:r w:rsidRPr="00BA2938">
        <w:rPr>
          <w:rFonts w:ascii="Titillium Web" w:hAnsi="Titillium Web"/>
          <w:sz w:val="20"/>
          <w:szCs w:val="20"/>
        </w:rPr>
        <w:t xml:space="preserve"> there is no additional element of volatility or stock concentration on account of fund manager decisions.</w:t>
      </w:r>
    </w:p>
    <w:p w14:paraId="0000015B" w14:textId="77777777" w:rsidR="00546EC1" w:rsidRPr="00BA2938" w:rsidRDefault="00546EC1" w:rsidP="00BA2938">
      <w:pPr>
        <w:spacing w:after="0" w:line="240" w:lineRule="auto"/>
        <w:jc w:val="both"/>
        <w:rPr>
          <w:rFonts w:ascii="Titillium Web" w:hAnsi="Titillium Web"/>
          <w:sz w:val="20"/>
          <w:szCs w:val="20"/>
        </w:rPr>
      </w:pPr>
    </w:p>
    <w:p w14:paraId="0000015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While these measures are expected to </w:t>
      </w:r>
      <w:proofErr w:type="gramStart"/>
      <w:r w:rsidRPr="00BA2938">
        <w:rPr>
          <w:rFonts w:ascii="Titillium Web" w:hAnsi="Titillium Web"/>
          <w:sz w:val="20"/>
          <w:szCs w:val="20"/>
        </w:rPr>
        <w:t>mitigate the above risks to a large extent</w:t>
      </w:r>
      <w:proofErr w:type="gramEnd"/>
      <w:r w:rsidRPr="00BA2938">
        <w:rPr>
          <w:rFonts w:ascii="Titillium Web" w:hAnsi="Titillium Web"/>
          <w:sz w:val="20"/>
          <w:szCs w:val="20"/>
        </w:rPr>
        <w:t>, there can be no assurance that these risks would be completely eliminated.</w:t>
      </w:r>
    </w:p>
    <w:p w14:paraId="0000015D" w14:textId="77777777" w:rsidR="00546EC1" w:rsidRPr="00BA2938" w:rsidRDefault="00546EC1" w:rsidP="00BA2938">
      <w:pPr>
        <w:spacing w:after="0" w:line="240" w:lineRule="auto"/>
        <w:jc w:val="both"/>
        <w:rPr>
          <w:rFonts w:ascii="Titillium Web" w:hAnsi="Titillium Web"/>
          <w:sz w:val="20"/>
          <w:szCs w:val="20"/>
        </w:rPr>
      </w:pPr>
    </w:p>
    <w:p w14:paraId="0000015E" w14:textId="77777777" w:rsidR="00546EC1" w:rsidRPr="00BA2938" w:rsidRDefault="00000000" w:rsidP="00BA2938">
      <w:pPr>
        <w:pStyle w:val="Heading2"/>
        <w:spacing w:before="0" w:line="240" w:lineRule="auto"/>
        <w:jc w:val="both"/>
        <w:rPr>
          <w:rFonts w:ascii="Titillium Web" w:eastAsia="Calibri" w:hAnsi="Titillium Web" w:cs="Calibri"/>
          <w:b/>
          <w:color w:val="000000"/>
          <w:sz w:val="20"/>
          <w:szCs w:val="20"/>
        </w:rPr>
      </w:pPr>
      <w:bookmarkStart w:id="7" w:name="_heading=h.56w110hr0hyi" w:colFirst="0" w:colLast="0"/>
      <w:bookmarkEnd w:id="7"/>
      <w:r w:rsidRPr="00BA2938">
        <w:rPr>
          <w:rFonts w:ascii="Titillium Web" w:eastAsia="Calibri" w:hAnsi="Titillium Web" w:cs="Calibri"/>
          <w:b/>
          <w:color w:val="000000"/>
          <w:sz w:val="20"/>
          <w:szCs w:val="20"/>
        </w:rPr>
        <w:t xml:space="preserve">RISK MITIGATION STRATEGIES </w:t>
      </w:r>
    </w:p>
    <w:p w14:paraId="0000015F" w14:textId="77777777" w:rsidR="00546EC1" w:rsidRPr="00BA2938" w:rsidRDefault="00546EC1" w:rsidP="00BA2938">
      <w:pPr>
        <w:pBdr>
          <w:top w:val="nil"/>
          <w:left w:val="nil"/>
          <w:bottom w:val="nil"/>
          <w:right w:val="nil"/>
          <w:between w:val="nil"/>
        </w:pBdr>
        <w:spacing w:after="0" w:line="240" w:lineRule="auto"/>
        <w:ind w:left="426"/>
        <w:jc w:val="both"/>
        <w:rPr>
          <w:rFonts w:ascii="Titillium Web" w:hAnsi="Titillium Web"/>
          <w:b/>
          <w:color w:val="000000"/>
          <w:sz w:val="20"/>
          <w:szCs w:val="20"/>
        </w:rPr>
      </w:pPr>
    </w:p>
    <w:tbl>
      <w:tblPr>
        <w:tblStyle w:val="a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5103"/>
      </w:tblGrid>
      <w:tr w:rsidR="00546EC1" w:rsidRPr="00BA2938" w14:paraId="247CE028" w14:textId="77777777">
        <w:tc>
          <w:tcPr>
            <w:tcW w:w="4390" w:type="dxa"/>
          </w:tcPr>
          <w:p w14:paraId="00000160"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sz w:val="20"/>
                <w:szCs w:val="20"/>
              </w:rPr>
            </w:pPr>
            <w:r w:rsidRPr="00BA2938">
              <w:rPr>
                <w:rFonts w:ascii="Titillium Web" w:hAnsi="Titillium Web"/>
                <w:b/>
                <w:sz w:val="20"/>
                <w:szCs w:val="20"/>
              </w:rPr>
              <w:t>Risk and Description</w:t>
            </w:r>
          </w:p>
        </w:tc>
        <w:tc>
          <w:tcPr>
            <w:tcW w:w="5103" w:type="dxa"/>
          </w:tcPr>
          <w:p w14:paraId="00000161"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sz w:val="20"/>
                <w:szCs w:val="20"/>
              </w:rPr>
            </w:pPr>
            <w:r w:rsidRPr="00BA2938">
              <w:rPr>
                <w:rFonts w:ascii="Titillium Web" w:hAnsi="Titillium Web"/>
                <w:b/>
                <w:sz w:val="20"/>
                <w:szCs w:val="20"/>
              </w:rPr>
              <w:t>Risk Mitigants/management strategy</w:t>
            </w:r>
          </w:p>
        </w:tc>
      </w:tr>
      <w:tr w:rsidR="00546EC1" w:rsidRPr="00BA2938" w14:paraId="65B01AEC" w14:textId="77777777">
        <w:tc>
          <w:tcPr>
            <w:tcW w:w="9493" w:type="dxa"/>
            <w:gridSpan w:val="2"/>
          </w:tcPr>
          <w:p w14:paraId="00000162"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b/>
                <w:sz w:val="20"/>
                <w:szCs w:val="20"/>
              </w:rPr>
              <w:t>Risks associated with Equity investments</w:t>
            </w:r>
          </w:p>
        </w:tc>
      </w:tr>
      <w:tr w:rsidR="00546EC1" w:rsidRPr="00BA2938" w14:paraId="3005B903" w14:textId="77777777">
        <w:tc>
          <w:tcPr>
            <w:tcW w:w="4390" w:type="dxa"/>
          </w:tcPr>
          <w:p w14:paraId="00000164"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Derivatives Risk As and when the Scheme trades in the derivatives market there are risk factors and issues concerning the use of derivatives since derivative products are specialized instruments that require investment techniques and risk analyses different from those associated with stocks and bonds.</w:t>
            </w:r>
          </w:p>
        </w:tc>
        <w:tc>
          <w:tcPr>
            <w:tcW w:w="5103" w:type="dxa"/>
          </w:tcPr>
          <w:p w14:paraId="00000165"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Derivatives will be used in the form of Index Options, Index Futures and other instruments as may be permitted by SEBI. All derivatives trade will be done only on the exchange with guaranteed settlement. The AMC monitors the portfolio and regulatory limits for derivatives through its front office monitoring system. Exposure to derivatives of stocks or underlying index will be done based on requisite research. Fund managers will endeavor to use derivatives which are liquid and traded frequently on the exchanges. Exposure with respect to derivatives shall be in line with regulatory limits and the limits specified in the SID. Such exposure shall also be regularly reviewed by the Fund manager. No OTC contracts will be entered into.</w:t>
            </w:r>
          </w:p>
        </w:tc>
      </w:tr>
      <w:tr w:rsidR="00546EC1" w:rsidRPr="00BA2938" w14:paraId="6697636E" w14:textId="77777777">
        <w:tc>
          <w:tcPr>
            <w:tcW w:w="4390" w:type="dxa"/>
          </w:tcPr>
          <w:p w14:paraId="00000166"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 xml:space="preserve">Liquidity </w:t>
            </w:r>
            <w:proofErr w:type="gramStart"/>
            <w:r w:rsidRPr="00BA2938">
              <w:rPr>
                <w:rFonts w:ascii="Titillium Web" w:hAnsi="Titillium Web"/>
                <w:sz w:val="20"/>
                <w:szCs w:val="20"/>
              </w:rPr>
              <w:t>risk</w:t>
            </w:r>
            <w:proofErr w:type="gramEnd"/>
            <w:r w:rsidRPr="00BA2938">
              <w:rPr>
                <w:rFonts w:ascii="Titillium Web" w:hAnsi="Titillium Web"/>
                <w:sz w:val="20"/>
                <w:szCs w:val="20"/>
              </w:rPr>
              <w:t xml:space="preserve"> The liquidity of the Scheme’s investments is inherently restricted by trading volumes in the securities in which they invests</w:t>
            </w:r>
          </w:p>
        </w:tc>
        <w:tc>
          <w:tcPr>
            <w:tcW w:w="5103" w:type="dxa"/>
          </w:tcPr>
          <w:p w14:paraId="00000167"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The Scheme will try to maintain a proper asset-liability match to ensure redemption payments are made on time and not affected by illiquidity of the underlying stocks</w:t>
            </w:r>
          </w:p>
        </w:tc>
      </w:tr>
      <w:tr w:rsidR="00546EC1" w:rsidRPr="00BA2938" w14:paraId="58CE6DC4" w14:textId="77777777">
        <w:tc>
          <w:tcPr>
            <w:tcW w:w="4390" w:type="dxa"/>
          </w:tcPr>
          <w:p w14:paraId="00000168"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Tracking Error risk (Volatility/ Concentration risk): The performance of the Scheme may not be commensurate with the performance of the underlying Index on any given day or over any given period</w:t>
            </w:r>
          </w:p>
        </w:tc>
        <w:tc>
          <w:tcPr>
            <w:tcW w:w="5103" w:type="dxa"/>
          </w:tcPr>
          <w:p w14:paraId="00000169"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Tracking Error risk (Volatility/ Concentration risk): Over a short to medium period, the Scheme may carry the risk of variance between portfolio composition and Benchmark. The objectives of the Scheme are to track the performance of the Underlying Index over the same period, subject to tracking error. The Scheme would endeavor to maintain a low tracking error by actively aligning the portfolio in line with the Index.</w:t>
            </w:r>
          </w:p>
        </w:tc>
      </w:tr>
      <w:tr w:rsidR="00546EC1" w:rsidRPr="00BA2938" w14:paraId="0255ED3F" w14:textId="77777777">
        <w:tc>
          <w:tcPr>
            <w:tcW w:w="9493" w:type="dxa"/>
            <w:gridSpan w:val="2"/>
          </w:tcPr>
          <w:p w14:paraId="0000016A"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sz w:val="20"/>
                <w:szCs w:val="20"/>
              </w:rPr>
            </w:pPr>
            <w:r w:rsidRPr="00BA2938">
              <w:rPr>
                <w:rFonts w:ascii="Titillium Web" w:hAnsi="Titillium Web"/>
                <w:b/>
                <w:sz w:val="20"/>
                <w:szCs w:val="20"/>
              </w:rPr>
              <w:t>Risks associated with Debt/Money market investments</w:t>
            </w:r>
          </w:p>
        </w:tc>
      </w:tr>
      <w:tr w:rsidR="00546EC1" w:rsidRPr="00BA2938" w14:paraId="357B32B9" w14:textId="77777777">
        <w:tc>
          <w:tcPr>
            <w:tcW w:w="4390" w:type="dxa"/>
          </w:tcPr>
          <w:p w14:paraId="0000016C"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 xml:space="preserve">Market Risk/ Interest Rate Risk As with all debt securities, changes in interest rates may affect the Scheme’s Net Asset Value as the prices of securities generally increase as interest rates decline and generally decrease as interest rates </w:t>
            </w:r>
            <w:r w:rsidRPr="00BA2938">
              <w:rPr>
                <w:rFonts w:ascii="Titillium Web" w:hAnsi="Titillium Web"/>
                <w:sz w:val="20"/>
                <w:szCs w:val="20"/>
              </w:rPr>
              <w:lastRenderedPageBreak/>
              <w:t>rise. Prices of long-term securities generally fluctuate more in response to interest rate changes than do short-term securities. Indian debt markets can be volatile leading to the possibility of price movements up or down in fixed income securities and thereby to possible movements in the NAV</w:t>
            </w:r>
          </w:p>
        </w:tc>
        <w:tc>
          <w:tcPr>
            <w:tcW w:w="5103" w:type="dxa"/>
          </w:tcPr>
          <w:p w14:paraId="0000016D"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lastRenderedPageBreak/>
              <w:t xml:space="preserve">In a rising interest rate </w:t>
            </w:r>
            <w:proofErr w:type="gramStart"/>
            <w:r w:rsidRPr="00BA2938">
              <w:rPr>
                <w:rFonts w:ascii="Titillium Web" w:hAnsi="Titillium Web"/>
                <w:sz w:val="20"/>
                <w:szCs w:val="20"/>
              </w:rPr>
              <w:t>scenario</w:t>
            </w:r>
            <w:proofErr w:type="gramEnd"/>
            <w:r w:rsidRPr="00BA2938">
              <w:rPr>
                <w:rFonts w:ascii="Titillium Web" w:hAnsi="Titillium Web"/>
                <w:sz w:val="20"/>
                <w:szCs w:val="20"/>
              </w:rPr>
              <w:t xml:space="preserve"> the scheme may increase its investment in money market securities whereas if the interest rates are expected to fall the allocation to debt securities with longer maturity may be increased thereby mitigating risk to that extent.</w:t>
            </w:r>
          </w:p>
        </w:tc>
      </w:tr>
      <w:tr w:rsidR="00546EC1" w:rsidRPr="00BA2938" w14:paraId="5255BCD3" w14:textId="77777777">
        <w:tc>
          <w:tcPr>
            <w:tcW w:w="4390" w:type="dxa"/>
          </w:tcPr>
          <w:p w14:paraId="0000016E"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Liquidity or Marketability Risk This refers to the ease with which a security can be sold at or near to its valuation yield-to-maturity (YTM).</w:t>
            </w:r>
          </w:p>
        </w:tc>
        <w:tc>
          <w:tcPr>
            <w:tcW w:w="5103" w:type="dxa"/>
          </w:tcPr>
          <w:p w14:paraId="0000016F"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The Scheme may invest in government securities and money market instruments. While the liquidity risk for government securities and money market instruments may be low</w:t>
            </w:r>
          </w:p>
        </w:tc>
      </w:tr>
      <w:tr w:rsidR="00546EC1" w:rsidRPr="00BA2938" w14:paraId="3E39BE6C" w14:textId="77777777">
        <w:tc>
          <w:tcPr>
            <w:tcW w:w="4390" w:type="dxa"/>
          </w:tcPr>
          <w:p w14:paraId="00000170"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Credit Risk Credit risk or default risk refers to the risk that an issuer of a fixed income security may default (i.e., will be unable to make timely principal and interest payments on the security).</w:t>
            </w:r>
          </w:p>
        </w:tc>
        <w:tc>
          <w:tcPr>
            <w:tcW w:w="5103" w:type="dxa"/>
          </w:tcPr>
          <w:p w14:paraId="00000171"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 xml:space="preserve">Management analysis will be used for identifying company specific risks. Management’s past track record will also be studied. </w:t>
            </w:r>
            <w:proofErr w:type="gramStart"/>
            <w:r w:rsidRPr="00BA2938">
              <w:rPr>
                <w:rFonts w:ascii="Titillium Web" w:hAnsi="Titillium Web"/>
                <w:sz w:val="20"/>
                <w:szCs w:val="20"/>
              </w:rPr>
              <w:t>In order to</w:t>
            </w:r>
            <w:proofErr w:type="gramEnd"/>
            <w:r w:rsidRPr="00BA2938">
              <w:rPr>
                <w:rFonts w:ascii="Titillium Web" w:hAnsi="Titillium Web"/>
                <w:sz w:val="20"/>
                <w:szCs w:val="20"/>
              </w:rPr>
              <w:t xml:space="preserve"> assess financial risk a detailed assessment of the issuer’s financial statements will be undertaken</w:t>
            </w:r>
          </w:p>
        </w:tc>
      </w:tr>
      <w:tr w:rsidR="00546EC1" w:rsidRPr="00BA2938" w14:paraId="484B11EC" w14:textId="77777777">
        <w:tc>
          <w:tcPr>
            <w:tcW w:w="4390" w:type="dxa"/>
          </w:tcPr>
          <w:p w14:paraId="00000172"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 xml:space="preserve">Reinvestment Risk This risk refers to the interest rate levels at which cash flows received from the securities in the Schemes are reinvested </w:t>
            </w:r>
            <w:proofErr w:type="gramStart"/>
            <w:r w:rsidRPr="00BA2938">
              <w:rPr>
                <w:rFonts w:ascii="Titillium Web" w:hAnsi="Titillium Web"/>
                <w:sz w:val="20"/>
                <w:szCs w:val="20"/>
              </w:rPr>
              <w:t>The</w:t>
            </w:r>
            <w:proofErr w:type="gramEnd"/>
            <w:r w:rsidRPr="00BA2938">
              <w:rPr>
                <w:rFonts w:ascii="Titillium Web" w:hAnsi="Titillium Web"/>
                <w:sz w:val="20"/>
                <w:szCs w:val="20"/>
              </w:rPr>
              <w:t xml:space="preserve"> risk is that the rate at which interim cash flows can be reinvested may be lower than that originally assumed.</w:t>
            </w:r>
          </w:p>
        </w:tc>
        <w:tc>
          <w:tcPr>
            <w:tcW w:w="5103" w:type="dxa"/>
          </w:tcPr>
          <w:p w14:paraId="00000173"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Reinvestment risks will be limited to the extent of coupons received on debt instruments, which will be a very small portion of the portfolio value</w:t>
            </w:r>
          </w:p>
        </w:tc>
      </w:tr>
    </w:tbl>
    <w:p w14:paraId="483DD985" w14:textId="77777777" w:rsidR="00560977" w:rsidRDefault="00560977" w:rsidP="00BA2938">
      <w:pPr>
        <w:pStyle w:val="Heading1"/>
        <w:spacing w:before="0" w:line="240" w:lineRule="auto"/>
        <w:jc w:val="both"/>
        <w:rPr>
          <w:rFonts w:ascii="Titillium Web" w:eastAsia="Calibri" w:hAnsi="Titillium Web" w:cs="Calibri"/>
          <w:b/>
          <w:color w:val="000000"/>
          <w:sz w:val="28"/>
          <w:szCs w:val="28"/>
        </w:rPr>
      </w:pPr>
      <w:bookmarkStart w:id="8" w:name="_heading=h.x64z8tkmu8q8" w:colFirst="0" w:colLast="0"/>
      <w:bookmarkEnd w:id="8"/>
    </w:p>
    <w:p w14:paraId="1CC8F532" w14:textId="77777777" w:rsidR="00560977" w:rsidRDefault="00560977">
      <w:pPr>
        <w:rPr>
          <w:rFonts w:ascii="Titillium Web" w:hAnsi="Titillium Web"/>
          <w:b/>
          <w:color w:val="000000"/>
          <w:sz w:val="28"/>
          <w:szCs w:val="28"/>
        </w:rPr>
      </w:pPr>
      <w:r>
        <w:rPr>
          <w:rFonts w:ascii="Titillium Web" w:hAnsi="Titillium Web"/>
          <w:b/>
          <w:color w:val="000000"/>
          <w:sz w:val="28"/>
          <w:szCs w:val="28"/>
        </w:rPr>
        <w:br w:type="page"/>
      </w:r>
    </w:p>
    <w:p w14:paraId="00000175" w14:textId="07CE9F7B" w:rsidR="00546EC1" w:rsidRDefault="00000000" w:rsidP="00FA14F4">
      <w:pPr>
        <w:pStyle w:val="Heading1"/>
        <w:spacing w:before="0" w:line="240" w:lineRule="auto"/>
        <w:jc w:val="center"/>
        <w:rPr>
          <w:rFonts w:ascii="Titillium Web" w:eastAsia="Calibri" w:hAnsi="Titillium Web" w:cs="Calibri"/>
          <w:b/>
          <w:color w:val="000000"/>
          <w:sz w:val="28"/>
          <w:szCs w:val="28"/>
        </w:rPr>
      </w:pPr>
      <w:r w:rsidRPr="00BA2938">
        <w:rPr>
          <w:rFonts w:ascii="Titillium Web" w:eastAsia="Calibri" w:hAnsi="Titillium Web" w:cs="Calibri"/>
          <w:b/>
          <w:color w:val="000000"/>
          <w:sz w:val="28"/>
          <w:szCs w:val="28"/>
        </w:rPr>
        <w:lastRenderedPageBreak/>
        <w:t>Navi Nifty Midcap 150 Index Fund</w:t>
      </w:r>
    </w:p>
    <w:p w14:paraId="6B38DA6D" w14:textId="77777777" w:rsidR="00BA2938" w:rsidRPr="00BA2938" w:rsidRDefault="00BA2938" w:rsidP="00BA2938"/>
    <w:p w14:paraId="00000176"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Scheme Specific Risk Factors</w:t>
      </w:r>
    </w:p>
    <w:p w14:paraId="00000177" w14:textId="77777777" w:rsidR="00546EC1" w:rsidRPr="00BA2938" w:rsidRDefault="00546EC1" w:rsidP="00BA2938">
      <w:pPr>
        <w:spacing w:after="0" w:line="240" w:lineRule="auto"/>
        <w:jc w:val="both"/>
        <w:rPr>
          <w:rFonts w:ascii="Titillium Web" w:hAnsi="Titillium Web"/>
          <w:b/>
          <w:sz w:val="20"/>
          <w:szCs w:val="20"/>
        </w:rPr>
      </w:pPr>
    </w:p>
    <w:p w14:paraId="00000178"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associated with Equity and Equity Related Instruments:</w:t>
      </w:r>
    </w:p>
    <w:p w14:paraId="0000017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Investments in equity and equity related instruments involve a degree of risk, both company specific and market risks and thus investors should not invest in the Scheme unless they can afford to take the risk of losing their investment.</w:t>
      </w:r>
    </w:p>
    <w:p w14:paraId="0000017A" w14:textId="77777777" w:rsidR="00546EC1" w:rsidRPr="00BA2938" w:rsidRDefault="00546EC1" w:rsidP="00BA2938">
      <w:pPr>
        <w:spacing w:after="0" w:line="240" w:lineRule="auto"/>
        <w:jc w:val="both"/>
        <w:rPr>
          <w:rFonts w:ascii="Titillium Web" w:hAnsi="Titillium Web"/>
          <w:sz w:val="20"/>
          <w:szCs w:val="20"/>
        </w:rPr>
      </w:pPr>
    </w:p>
    <w:p w14:paraId="0000017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will invest in equity and equity related securities diversified over various sectors.  Thus, any price fluctuation for these securities may adversely affect the NAV of the units issued under the Scheme. The same may also lead to out-performance or under-performance of the scheme against Nifty Midcap 150 which is the benchmark index for the scheme.</w:t>
      </w:r>
    </w:p>
    <w:p w14:paraId="0000017C" w14:textId="77777777" w:rsidR="00546EC1" w:rsidRPr="00BA2938" w:rsidRDefault="00546EC1" w:rsidP="00BA2938">
      <w:pPr>
        <w:spacing w:after="0" w:line="240" w:lineRule="auto"/>
        <w:jc w:val="both"/>
        <w:rPr>
          <w:rFonts w:ascii="Titillium Web" w:hAnsi="Titillium Web"/>
          <w:sz w:val="20"/>
          <w:szCs w:val="20"/>
        </w:rPr>
      </w:pPr>
    </w:p>
    <w:p w14:paraId="0000017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Equity and Equity Related Instruments by nature are volatile and prone to price fluctuations </w:t>
      </w:r>
      <w:proofErr w:type="gramStart"/>
      <w:r w:rsidRPr="00BA2938">
        <w:rPr>
          <w:rFonts w:ascii="Titillium Web" w:hAnsi="Titillium Web"/>
          <w:sz w:val="20"/>
          <w:szCs w:val="20"/>
        </w:rPr>
        <w:t>on a daily basis</w:t>
      </w:r>
      <w:proofErr w:type="gramEnd"/>
      <w:r w:rsidRPr="00BA2938">
        <w:rPr>
          <w:rFonts w:ascii="Titillium Web" w:hAnsi="Titillium Web"/>
          <w:sz w:val="20"/>
          <w:szCs w:val="20"/>
        </w:rPr>
        <w:t xml:space="preserve"> due to macro and micro economic factors. The value of Equity and Equity Related Instruments may fluctuate due to factors affecting the securities markets such as volume and volatility in the capital markets, interest rates, currency exchange rates, changes in law/policies of the Government, taxation laws, political, economic or other developments, which may have an adverse impact on individual securities, a specific sector or all sectors. Consequently, the NAV of the Units issued under the Scheme may be adversely affected.</w:t>
      </w:r>
    </w:p>
    <w:p w14:paraId="0000017E" w14:textId="77777777" w:rsidR="00546EC1" w:rsidRPr="00BA2938" w:rsidRDefault="00546EC1" w:rsidP="00BA2938">
      <w:pPr>
        <w:spacing w:after="0" w:line="240" w:lineRule="auto"/>
        <w:jc w:val="both"/>
        <w:rPr>
          <w:rFonts w:ascii="Titillium Web" w:hAnsi="Titillium Web"/>
          <w:sz w:val="20"/>
          <w:szCs w:val="20"/>
        </w:rPr>
      </w:pPr>
    </w:p>
    <w:p w14:paraId="0000017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Equity and Equity Related Instruments listed on the stock exchange carry lower liquidity risk; </w:t>
      </w:r>
      <w:proofErr w:type="gramStart"/>
      <w:r w:rsidRPr="00BA2938">
        <w:rPr>
          <w:rFonts w:ascii="Titillium Web" w:hAnsi="Titillium Web"/>
          <w:sz w:val="20"/>
          <w:szCs w:val="20"/>
        </w:rPr>
        <w:t>however</w:t>
      </w:r>
      <w:proofErr w:type="gramEnd"/>
      <w:r w:rsidRPr="00BA2938">
        <w:rPr>
          <w:rFonts w:ascii="Titillium Web" w:hAnsi="Titillium Web"/>
          <w:sz w:val="20"/>
          <w:szCs w:val="20"/>
        </w:rPr>
        <w:t xml:space="preserve"> the Scheme’s ability to sell these investments is limited by the overall trading volume on the stock exchanges. In certain cases, settlement periods may be extended significantly by unforeseen circumstances. The inability of the Scheme to make intended securities purchases due to settlement problems could cause the Scheme to miss certain investment opportunities. Similarly, the inability to sell securities held in the Scheme's portfolio may result, at times, in potential losses to the Scheme, should there be a subsequent decline in the value of securities held in the Scheme's portfolio.</w:t>
      </w:r>
    </w:p>
    <w:p w14:paraId="00000180" w14:textId="77777777" w:rsidR="00546EC1" w:rsidRPr="00BA2938" w:rsidRDefault="00546EC1" w:rsidP="00BA2938">
      <w:pPr>
        <w:spacing w:after="0" w:line="240" w:lineRule="auto"/>
        <w:jc w:val="both"/>
        <w:rPr>
          <w:rFonts w:ascii="Titillium Web" w:hAnsi="Titillium Web"/>
          <w:sz w:val="20"/>
          <w:szCs w:val="20"/>
        </w:rPr>
      </w:pPr>
    </w:p>
    <w:p w14:paraId="0000018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Scheme may invest in securities which are not listed on the stock exchanges. These securities may be illiquid in nature and carry a higher amount of liquidity risk, in comparison to securities that are listed on the stock exchanges or offer other exit options to the investor. The liquidity and valuation of the Scheme's investments due to its holdings of unlisted securities may be affected if they </w:t>
      </w:r>
      <w:proofErr w:type="gramStart"/>
      <w:r w:rsidRPr="00BA2938">
        <w:rPr>
          <w:rFonts w:ascii="Titillium Web" w:hAnsi="Titillium Web"/>
          <w:sz w:val="20"/>
          <w:szCs w:val="20"/>
        </w:rPr>
        <w:t>have to</w:t>
      </w:r>
      <w:proofErr w:type="gramEnd"/>
      <w:r w:rsidRPr="00BA2938">
        <w:rPr>
          <w:rFonts w:ascii="Titillium Web" w:hAnsi="Titillium Web"/>
          <w:sz w:val="20"/>
          <w:szCs w:val="20"/>
        </w:rPr>
        <w:t xml:space="preserve"> be sold prior to the target date of disinvestment.</w:t>
      </w:r>
    </w:p>
    <w:p w14:paraId="00000182" w14:textId="77777777" w:rsidR="00546EC1" w:rsidRPr="00BA2938" w:rsidRDefault="00546EC1" w:rsidP="00BA2938">
      <w:pPr>
        <w:spacing w:after="0" w:line="240" w:lineRule="auto"/>
        <w:jc w:val="both"/>
        <w:rPr>
          <w:rFonts w:ascii="Titillium Web" w:hAnsi="Titillium Web"/>
          <w:sz w:val="20"/>
          <w:szCs w:val="20"/>
        </w:rPr>
      </w:pPr>
    </w:p>
    <w:p w14:paraId="00000183"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Risks of Total Return </w:t>
      </w:r>
    </w:p>
    <w:p w14:paraId="0000018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Dividends are assumed to be reinvested into the Nifty Midcap 150 Index after the ex-dividend date of the constituents. However, in practice, the dividend is received with a lag. This can lead to some tracking error.</w:t>
      </w:r>
    </w:p>
    <w:p w14:paraId="00000185" w14:textId="77777777" w:rsidR="00546EC1" w:rsidRPr="00BA2938" w:rsidRDefault="00546EC1" w:rsidP="00BA2938">
      <w:pPr>
        <w:spacing w:after="0" w:line="240" w:lineRule="auto"/>
        <w:jc w:val="both"/>
        <w:rPr>
          <w:rFonts w:ascii="Titillium Web" w:hAnsi="Titillium Web"/>
          <w:sz w:val="20"/>
          <w:szCs w:val="20"/>
        </w:rPr>
      </w:pPr>
    </w:p>
    <w:p w14:paraId="00000186"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Index Fund Risk</w:t>
      </w:r>
    </w:p>
    <w:p w14:paraId="0000018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lastRenderedPageBreak/>
        <w:t>The Scheme being an index scheme follows a passive investment technique and shall only invest in Securities comprising one selected index as per investment objective of the Scheme. The Fund Manager would invest in the Securities comprising the underlying index irrespective of the market conditions. If the Securities market declines, the value of the investment held by the Scheme shall decrease.</w:t>
      </w:r>
    </w:p>
    <w:p w14:paraId="00000188" w14:textId="77777777" w:rsidR="00546EC1" w:rsidRPr="00BA2938" w:rsidRDefault="00546EC1" w:rsidP="00BA2938">
      <w:pPr>
        <w:spacing w:after="0" w:line="240" w:lineRule="auto"/>
        <w:jc w:val="both"/>
        <w:rPr>
          <w:rFonts w:ascii="Titillium Web" w:hAnsi="Titillium Web"/>
          <w:sz w:val="20"/>
          <w:szCs w:val="20"/>
        </w:rPr>
      </w:pPr>
    </w:p>
    <w:p w14:paraId="00000189"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Passive Investments </w:t>
      </w:r>
    </w:p>
    <w:p w14:paraId="0000018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is not actively managed. Since the Scheme is linked to index, it may be affected by a general decline in the Indian markets relating to its underlying index. The Scheme as per its investment objective invests in Securities which are constituents of its underlying index regardless of their investment merit. The AMC does not attempt to individually select stocks or to take defensive positions in declining markets.</w:t>
      </w:r>
    </w:p>
    <w:p w14:paraId="0000018B" w14:textId="77777777" w:rsidR="00546EC1" w:rsidRPr="00BA2938" w:rsidRDefault="00546EC1" w:rsidP="00BA2938">
      <w:pPr>
        <w:spacing w:after="0" w:line="240" w:lineRule="auto"/>
        <w:jc w:val="both"/>
        <w:rPr>
          <w:rFonts w:ascii="Titillium Web" w:hAnsi="Titillium Web"/>
          <w:b/>
          <w:sz w:val="20"/>
          <w:szCs w:val="20"/>
        </w:rPr>
      </w:pPr>
    </w:p>
    <w:p w14:paraId="0000018C"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Trading through mutual fund trading platforms of BSE and/ or NSE </w:t>
      </w:r>
    </w:p>
    <w:p w14:paraId="0000018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In respect of transaction in Units of the Scheme through BSE and/ or NSE, allotment and redemption of Units on any Business Day will depend upon the order processing/settlement by BSE and/ or NSE and their respective clearing corporations on which the Mutual Fund has no control.</w:t>
      </w:r>
    </w:p>
    <w:p w14:paraId="0000018E" w14:textId="77777777" w:rsidR="00546EC1" w:rsidRPr="00BA2938" w:rsidRDefault="00546EC1" w:rsidP="00BA2938">
      <w:pPr>
        <w:spacing w:after="0" w:line="240" w:lineRule="auto"/>
        <w:jc w:val="both"/>
        <w:rPr>
          <w:rFonts w:ascii="Titillium Web" w:hAnsi="Titillium Web"/>
          <w:sz w:val="20"/>
          <w:szCs w:val="20"/>
        </w:rPr>
      </w:pPr>
    </w:p>
    <w:p w14:paraId="0000018F"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associated with Fixed Income securities:</w:t>
      </w:r>
    </w:p>
    <w:p w14:paraId="00000190" w14:textId="77777777" w:rsidR="00546EC1" w:rsidRPr="00BA2938" w:rsidRDefault="00546EC1" w:rsidP="00BA2938">
      <w:pPr>
        <w:spacing w:after="0" w:line="240" w:lineRule="auto"/>
        <w:jc w:val="both"/>
        <w:rPr>
          <w:rFonts w:ascii="Titillium Web" w:hAnsi="Titillium Web"/>
          <w:sz w:val="20"/>
          <w:szCs w:val="20"/>
        </w:rPr>
      </w:pPr>
    </w:p>
    <w:p w14:paraId="0000019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following are the risks associated with investment in Fixed Income securities:</w:t>
      </w:r>
    </w:p>
    <w:p w14:paraId="00000192" w14:textId="77777777" w:rsidR="00546EC1" w:rsidRPr="00BA2938" w:rsidRDefault="00546EC1" w:rsidP="00BA2938">
      <w:pPr>
        <w:spacing w:after="0" w:line="240" w:lineRule="auto"/>
        <w:jc w:val="both"/>
        <w:rPr>
          <w:rFonts w:ascii="Titillium Web" w:hAnsi="Titillium Web"/>
          <w:sz w:val="20"/>
          <w:szCs w:val="20"/>
        </w:rPr>
      </w:pPr>
    </w:p>
    <w:p w14:paraId="0000019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Interest-Rate Risk:</w:t>
      </w:r>
      <w:r w:rsidRPr="00BA2938">
        <w:rPr>
          <w:rFonts w:ascii="Titillium Web" w:hAnsi="Titillium Web"/>
          <w:sz w:val="20"/>
          <w:szCs w:val="20"/>
        </w:rPr>
        <w:t xml:space="preserve"> Fixed income securities such as government bonds, corporate bonds, Money Market Instruments and Derivatives run price-risk or interest-rate risk. Generally, when interest rates rise, prices of existing fixed income securities fall and when interest rates drop, such prices increase. The extent of fall or rise in the prices depends upon the coupon and maturity of the security. It also depends upon the level at which the security is being traded.</w:t>
      </w:r>
    </w:p>
    <w:p w14:paraId="00000194" w14:textId="77777777" w:rsidR="00546EC1" w:rsidRPr="00BA2938" w:rsidRDefault="00546EC1" w:rsidP="00BA2938">
      <w:pPr>
        <w:spacing w:after="0" w:line="240" w:lineRule="auto"/>
        <w:jc w:val="both"/>
        <w:rPr>
          <w:rFonts w:ascii="Titillium Web" w:hAnsi="Titillium Web"/>
          <w:sz w:val="20"/>
          <w:szCs w:val="20"/>
        </w:rPr>
      </w:pPr>
    </w:p>
    <w:p w14:paraId="0000019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Re-investment Risk: </w:t>
      </w:r>
      <w:r w:rsidRPr="00BA2938">
        <w:rPr>
          <w:rFonts w:ascii="Titillium Web" w:hAnsi="Titillium Web"/>
          <w:sz w:val="20"/>
          <w:szCs w:val="20"/>
        </w:rPr>
        <w:t>Investments in fixed income securities carry re-investment risk as interest rates prevailing on the coupon payment or maturity dates may differ from the original coupon of the bond.</w:t>
      </w:r>
    </w:p>
    <w:p w14:paraId="00000196" w14:textId="77777777" w:rsidR="00546EC1" w:rsidRPr="00BA2938" w:rsidRDefault="00546EC1" w:rsidP="00BA2938">
      <w:pPr>
        <w:spacing w:after="0" w:line="240" w:lineRule="auto"/>
        <w:jc w:val="both"/>
        <w:rPr>
          <w:rFonts w:ascii="Titillium Web" w:hAnsi="Titillium Web"/>
          <w:sz w:val="20"/>
          <w:szCs w:val="20"/>
        </w:rPr>
      </w:pPr>
    </w:p>
    <w:p w14:paraId="0000019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Basis Risk</w:t>
      </w:r>
      <w:r w:rsidRPr="00BA2938">
        <w:rPr>
          <w:rFonts w:ascii="Titillium Web" w:hAnsi="Titillium Web"/>
          <w:sz w:val="20"/>
          <w:szCs w:val="20"/>
        </w:rPr>
        <w:t>: The underlying benchmark of a floating rate security or a swap might become less active or may cease to exist and thus may not be able to capture the exact interest rate movements, leading to loss of value of the portfolio.</w:t>
      </w:r>
    </w:p>
    <w:p w14:paraId="00000198" w14:textId="77777777" w:rsidR="00546EC1" w:rsidRPr="00BA2938" w:rsidRDefault="00546EC1" w:rsidP="00BA2938">
      <w:pPr>
        <w:spacing w:after="0" w:line="240" w:lineRule="auto"/>
        <w:jc w:val="both"/>
        <w:rPr>
          <w:rFonts w:ascii="Titillium Web" w:hAnsi="Titillium Web"/>
          <w:sz w:val="20"/>
          <w:szCs w:val="20"/>
        </w:rPr>
      </w:pPr>
    </w:p>
    <w:p w14:paraId="0000019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Spread Risk: </w:t>
      </w:r>
      <w:r w:rsidRPr="00BA2938">
        <w:rPr>
          <w:rFonts w:ascii="Titillium Web" w:hAnsi="Titillium Web"/>
          <w:sz w:val="20"/>
          <w:szCs w:val="20"/>
        </w:rPr>
        <w:t xml:space="preserve">In a floating rate </w:t>
      </w:r>
      <w:proofErr w:type="gramStart"/>
      <w:r w:rsidRPr="00BA2938">
        <w:rPr>
          <w:rFonts w:ascii="Titillium Web" w:hAnsi="Titillium Web"/>
          <w:sz w:val="20"/>
          <w:szCs w:val="20"/>
        </w:rPr>
        <w:t>security</w:t>
      </w:r>
      <w:proofErr w:type="gramEnd"/>
      <w:r w:rsidRPr="00BA2938">
        <w:rPr>
          <w:rFonts w:ascii="Titillium Web" w:hAnsi="Titillium Web"/>
          <w:sz w:val="20"/>
          <w:szCs w:val="20"/>
        </w:rPr>
        <w:t xml:space="preserve"> the coupon is expressed in terms of a spread or mark up over the benchmark rate. In the life of the security this spread may move adversely leading to loss in value of the portfolio. The yield of the underlying benchmark might not change, but the spread of the security over the underlying benchmark might increase leading to loss in value of the security.</w:t>
      </w:r>
    </w:p>
    <w:p w14:paraId="0000019A" w14:textId="77777777" w:rsidR="00546EC1" w:rsidRPr="00BA2938" w:rsidRDefault="00546EC1" w:rsidP="00BA2938">
      <w:pPr>
        <w:spacing w:after="0" w:line="240" w:lineRule="auto"/>
        <w:jc w:val="both"/>
        <w:rPr>
          <w:rFonts w:ascii="Titillium Web" w:hAnsi="Titillium Web"/>
          <w:sz w:val="20"/>
          <w:szCs w:val="20"/>
        </w:rPr>
      </w:pPr>
    </w:p>
    <w:p w14:paraId="0000019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w:t>
      </w:r>
      <w:r w:rsidRPr="00BA2938">
        <w:rPr>
          <w:rFonts w:ascii="Titillium Web" w:hAnsi="Titillium Web"/>
          <w:sz w:val="20"/>
          <w:szCs w:val="20"/>
        </w:rPr>
        <w:t xml:space="preserve">The liquidity of a bond may change, depending on market conditions leading to changes in the liquidity premium attached to the price of the bond. At the time of selling the security, the security can become illiquid, leading to loss in value of the portfolio. </w:t>
      </w:r>
    </w:p>
    <w:p w14:paraId="0000019C" w14:textId="77777777" w:rsidR="00546EC1" w:rsidRPr="00BA2938" w:rsidRDefault="00546EC1" w:rsidP="00BA2938">
      <w:pPr>
        <w:spacing w:after="0" w:line="240" w:lineRule="auto"/>
        <w:jc w:val="both"/>
        <w:rPr>
          <w:rFonts w:ascii="Titillium Web" w:hAnsi="Titillium Web"/>
          <w:sz w:val="20"/>
          <w:szCs w:val="20"/>
        </w:rPr>
      </w:pPr>
    </w:p>
    <w:p w14:paraId="0000019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Credit Risk: </w:t>
      </w:r>
      <w:r w:rsidRPr="00BA2938">
        <w:rPr>
          <w:rFonts w:ascii="Titillium Web" w:hAnsi="Titillium Web"/>
          <w:sz w:val="20"/>
          <w:szCs w:val="20"/>
        </w:rPr>
        <w:t xml:space="preserve">This is the risk associated with the issuer of a debenture/bond or a Money Market Instrument defaulting on coupon payments or in paying back the principal amount on maturity. Even when there is no default, the price of a security may change with expected changes in the credit rating of the issuer. It is to be noted here that a Government Security is a sovereign security and is the safest. Corporate bonds carry a higher amount of credit risk than Government Securities. Within corporate bonds also there are different levels of </w:t>
      </w:r>
      <w:proofErr w:type="gramStart"/>
      <w:r w:rsidRPr="00BA2938">
        <w:rPr>
          <w:rFonts w:ascii="Titillium Web" w:hAnsi="Titillium Web"/>
          <w:sz w:val="20"/>
          <w:szCs w:val="20"/>
        </w:rPr>
        <w:t>safety</w:t>
      </w:r>
      <w:proofErr w:type="gramEnd"/>
      <w:r w:rsidRPr="00BA2938">
        <w:rPr>
          <w:rFonts w:ascii="Titillium Web" w:hAnsi="Titillium Web"/>
          <w:sz w:val="20"/>
          <w:szCs w:val="20"/>
        </w:rPr>
        <w:t xml:space="preserve"> and a bond rated higher by a particular rating agency is safer than a bond rated lower by the same rating agency.</w:t>
      </w:r>
    </w:p>
    <w:p w14:paraId="0000019E" w14:textId="77777777" w:rsidR="00546EC1" w:rsidRPr="00BA2938" w:rsidRDefault="00546EC1" w:rsidP="00BA2938">
      <w:pPr>
        <w:spacing w:after="0" w:line="240" w:lineRule="auto"/>
        <w:jc w:val="both"/>
        <w:rPr>
          <w:rFonts w:ascii="Titillium Web" w:hAnsi="Titillium Web"/>
          <w:b/>
          <w:sz w:val="20"/>
          <w:szCs w:val="20"/>
        </w:rPr>
      </w:pPr>
    </w:p>
    <w:p w14:paraId="0000019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on account of unlisted securities: </w:t>
      </w:r>
      <w:r w:rsidRPr="00BA2938">
        <w:rPr>
          <w:rFonts w:ascii="Titillium Web" w:hAnsi="Titillium Web"/>
          <w:sz w:val="20"/>
          <w:szCs w:val="20"/>
        </w:rPr>
        <w:t xml:space="preserve">The liquidity and valuation of the Scheme investments due to their holdings of unlisted securities may be affected if they </w:t>
      </w:r>
      <w:proofErr w:type="gramStart"/>
      <w:r w:rsidRPr="00BA2938">
        <w:rPr>
          <w:rFonts w:ascii="Titillium Web" w:hAnsi="Titillium Web"/>
          <w:sz w:val="20"/>
          <w:szCs w:val="20"/>
        </w:rPr>
        <w:t>have to</w:t>
      </w:r>
      <w:proofErr w:type="gramEnd"/>
      <w:r w:rsidRPr="00BA2938">
        <w:rPr>
          <w:rFonts w:ascii="Titillium Web" w:hAnsi="Titillium Web"/>
          <w:sz w:val="20"/>
          <w:szCs w:val="20"/>
        </w:rPr>
        <w:t xml:space="preserve"> be sold prior to their target date of divestment. The unlisted security can go down in value before the divestment date and selling of these securities before the divestment date can lead to losses in the portfolio.</w:t>
      </w:r>
    </w:p>
    <w:p w14:paraId="000001A0" w14:textId="77777777" w:rsidR="00546EC1" w:rsidRPr="00BA2938" w:rsidRDefault="00546EC1" w:rsidP="00BA2938">
      <w:pPr>
        <w:spacing w:after="0" w:line="240" w:lineRule="auto"/>
        <w:jc w:val="both"/>
        <w:rPr>
          <w:rFonts w:ascii="Titillium Web" w:hAnsi="Titillium Web"/>
          <w:sz w:val="20"/>
          <w:szCs w:val="20"/>
        </w:rPr>
      </w:pPr>
    </w:p>
    <w:p w14:paraId="000001A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Settlement Risk: </w:t>
      </w:r>
      <w:r w:rsidRPr="00BA2938">
        <w:rPr>
          <w:rFonts w:ascii="Titillium Web" w:hAnsi="Titillium Web"/>
          <w:sz w:val="20"/>
          <w:szCs w:val="20"/>
        </w:rPr>
        <w:t>Fixed income securities run the risk of settlement which can adversely affect the ability of the fund house to swiftly execute trading strategies which can lead to adverse movements in NAV.</w:t>
      </w:r>
    </w:p>
    <w:p w14:paraId="000001A2" w14:textId="77777777" w:rsidR="00546EC1" w:rsidRPr="00BA2938" w:rsidRDefault="00546EC1" w:rsidP="00BA2938">
      <w:pPr>
        <w:spacing w:after="0" w:line="240" w:lineRule="auto"/>
        <w:jc w:val="both"/>
        <w:rPr>
          <w:rFonts w:ascii="Titillium Web" w:hAnsi="Titillium Web"/>
          <w:sz w:val="20"/>
          <w:szCs w:val="20"/>
        </w:rPr>
      </w:pPr>
    </w:p>
    <w:p w14:paraId="000001A3"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Risks associated with investing in Tri-Party Repos Segments </w:t>
      </w:r>
    </w:p>
    <w:p w14:paraId="000001A4" w14:textId="77777777" w:rsidR="00546EC1" w:rsidRPr="00BA2938" w:rsidRDefault="00546EC1" w:rsidP="00BA2938">
      <w:pPr>
        <w:spacing w:after="0" w:line="240" w:lineRule="auto"/>
        <w:jc w:val="both"/>
        <w:rPr>
          <w:rFonts w:ascii="Titillium Web" w:hAnsi="Titillium Web"/>
          <w:b/>
          <w:sz w:val="20"/>
          <w:szCs w:val="20"/>
        </w:rPr>
      </w:pPr>
    </w:p>
    <w:p w14:paraId="000001A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mutual fund is a member of securities and Tri-Party Repos segments of the Clearing Corporation of India (CCIL). All transactions of the mutual fund in government securities and in Tri-Party Repos segments are settled centrally through the infrastructure and settlement systems provided by CCIL; </w:t>
      </w:r>
      <w:proofErr w:type="gramStart"/>
      <w:r w:rsidRPr="00BA2938">
        <w:rPr>
          <w:rFonts w:ascii="Titillium Web" w:hAnsi="Titillium Web"/>
          <w:sz w:val="20"/>
          <w:szCs w:val="20"/>
        </w:rPr>
        <w:t>thus</w:t>
      </w:r>
      <w:proofErr w:type="gramEnd"/>
      <w:r w:rsidRPr="00BA2938">
        <w:rPr>
          <w:rFonts w:ascii="Titillium Web" w:hAnsi="Titillium Web"/>
          <w:sz w:val="20"/>
          <w:szCs w:val="20"/>
        </w:rPr>
        <w:t xml:space="preserve"> reducing the settlement and counterparty risks considerably for transactions in the said segments. The members are required to contribute an amount as communicated by CCIL from time to time to the default fund maintained by CCIL as a part of the default waterfall (a loss mitigating measure of CCIL in case of default by any member in settling transactions routed through CCIL). The mutual fund is exposed to the extent of its contribution to the default fund of CCIL at any given point in time. In the event that the default waterfall is </w:t>
      </w:r>
      <w:proofErr w:type="gramStart"/>
      <w:r w:rsidRPr="00BA2938">
        <w:rPr>
          <w:rFonts w:ascii="Titillium Web" w:hAnsi="Titillium Web"/>
          <w:sz w:val="20"/>
          <w:szCs w:val="20"/>
        </w:rPr>
        <w:t>triggered</w:t>
      </w:r>
      <w:proofErr w:type="gramEnd"/>
      <w:r w:rsidRPr="00BA2938">
        <w:rPr>
          <w:rFonts w:ascii="Titillium Web" w:hAnsi="Titillium Web"/>
          <w:sz w:val="20"/>
          <w:szCs w:val="20"/>
        </w:rPr>
        <w:t xml:space="preserve"> and the contribution of the mutual fund is called upon to absorb settlement/default losses of another member by CCIL, the scheme may lose an amount equivalent to its contribution to the default fund allocated to the scheme on a pro-rata basis.</w:t>
      </w:r>
    </w:p>
    <w:p w14:paraId="000001A6" w14:textId="77777777" w:rsidR="00546EC1" w:rsidRPr="00BA2938" w:rsidRDefault="00546EC1" w:rsidP="00BA2938">
      <w:pPr>
        <w:spacing w:after="0" w:line="240" w:lineRule="auto"/>
        <w:jc w:val="both"/>
        <w:rPr>
          <w:rFonts w:ascii="Titillium Web" w:hAnsi="Titillium Web"/>
          <w:sz w:val="20"/>
          <w:szCs w:val="20"/>
        </w:rPr>
      </w:pPr>
    </w:p>
    <w:p w14:paraId="000001A7"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Tracking Error Risk </w:t>
      </w:r>
    </w:p>
    <w:p w14:paraId="000001A8" w14:textId="77777777" w:rsidR="00546EC1" w:rsidRPr="00BA2938" w:rsidRDefault="00546EC1" w:rsidP="00BA2938">
      <w:pPr>
        <w:spacing w:after="0" w:line="240" w:lineRule="auto"/>
        <w:jc w:val="both"/>
        <w:rPr>
          <w:rFonts w:ascii="Titillium Web" w:hAnsi="Titillium Web"/>
          <w:sz w:val="20"/>
          <w:szCs w:val="20"/>
        </w:rPr>
      </w:pPr>
    </w:p>
    <w:p w14:paraId="000001A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Fund Manager would not be able to invest the entire corpus exactly in the same proportion as in the underlying index due to certain factors such as the fees and expenses of the Scheme, corporate actions, cash balance and changes to the underlying index and regulatory restrictions, lack of liquidity which may result in Tracking Error. Hence it may affect AMC’s ability to achieve close correlation with the underlying index of the Scheme. The Scheme’s returns may therefore deviate from its underlying index. "Tracking Error" is defined as the standard deviation of the difference between daily returns of the underlying index and the NAV of the Scheme. The Fund Manager would monitor the Tracking Error of the Scheme on an ongoing basis and would seek to minimize the Tracking Error. There can be no assurance or guarantee that the Scheme will achieve any </w:t>
      </w:r>
      <w:proofErr w:type="gramStart"/>
      <w:r w:rsidRPr="00BA2938">
        <w:rPr>
          <w:rFonts w:ascii="Titillium Web" w:hAnsi="Titillium Web"/>
          <w:sz w:val="20"/>
          <w:szCs w:val="20"/>
        </w:rPr>
        <w:t>particular level</w:t>
      </w:r>
      <w:proofErr w:type="gramEnd"/>
      <w:r w:rsidRPr="00BA2938">
        <w:rPr>
          <w:rFonts w:ascii="Titillium Web" w:hAnsi="Titillium Web"/>
          <w:sz w:val="20"/>
          <w:szCs w:val="20"/>
        </w:rPr>
        <w:t xml:space="preserve"> of Tracking Error relative to performance of the underlying Index.</w:t>
      </w:r>
    </w:p>
    <w:p w14:paraId="000001AA" w14:textId="77777777" w:rsidR="00546EC1" w:rsidRPr="00BA2938" w:rsidRDefault="00546EC1" w:rsidP="00BA2938">
      <w:pPr>
        <w:spacing w:after="0" w:line="240" w:lineRule="auto"/>
        <w:jc w:val="both"/>
        <w:rPr>
          <w:rFonts w:ascii="Titillium Web" w:hAnsi="Titillium Web"/>
          <w:sz w:val="20"/>
          <w:szCs w:val="20"/>
        </w:rPr>
      </w:pPr>
    </w:p>
    <w:p w14:paraId="000001AB"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lastRenderedPageBreak/>
        <w:t xml:space="preserve">Risk Factors relating to Portfolio Rebalancing </w:t>
      </w:r>
    </w:p>
    <w:p w14:paraId="000001AC" w14:textId="77777777" w:rsidR="00546EC1" w:rsidRPr="00BA2938" w:rsidRDefault="00546EC1" w:rsidP="00BA2938">
      <w:pPr>
        <w:spacing w:after="0" w:line="240" w:lineRule="auto"/>
        <w:jc w:val="both"/>
        <w:rPr>
          <w:rFonts w:ascii="Titillium Web" w:hAnsi="Titillium Web"/>
          <w:b/>
          <w:sz w:val="20"/>
          <w:szCs w:val="20"/>
        </w:rPr>
      </w:pPr>
    </w:p>
    <w:p w14:paraId="000001AD" w14:textId="77777777" w:rsidR="00546EC1" w:rsidRPr="00BA2938" w:rsidRDefault="00000000" w:rsidP="00BA2938">
      <w:pPr>
        <w:spacing w:after="0" w:line="240" w:lineRule="auto"/>
        <w:jc w:val="both"/>
        <w:rPr>
          <w:rFonts w:ascii="Titillium Web" w:hAnsi="Titillium Web"/>
          <w:sz w:val="20"/>
          <w:szCs w:val="20"/>
        </w:rPr>
      </w:pPr>
      <w:proofErr w:type="gramStart"/>
      <w:r w:rsidRPr="00BA2938">
        <w:rPr>
          <w:rFonts w:ascii="Titillium Web" w:hAnsi="Titillium Web"/>
          <w:sz w:val="20"/>
          <w:szCs w:val="20"/>
        </w:rPr>
        <w:t>In the event that</w:t>
      </w:r>
      <w:proofErr w:type="gramEnd"/>
      <w:r w:rsidRPr="00BA2938">
        <w:rPr>
          <w:rFonts w:ascii="Titillium Web" w:hAnsi="Titillium Web"/>
          <w:sz w:val="20"/>
          <w:szCs w:val="20"/>
        </w:rPr>
        <w:t xml:space="preserve"> the asset allocation of the Scheme deviates from the ranges as provided in the asset allocation table in this SID, then the Fund Manager will rebalance the portfolio of the Scheme to the position indicated in the asset allocation table.</w:t>
      </w:r>
    </w:p>
    <w:p w14:paraId="000001AE" w14:textId="77777777" w:rsidR="00546EC1" w:rsidRPr="00BA2938" w:rsidRDefault="00546EC1" w:rsidP="00BA2938">
      <w:pPr>
        <w:spacing w:after="0" w:line="240" w:lineRule="auto"/>
        <w:jc w:val="both"/>
        <w:rPr>
          <w:rFonts w:ascii="Titillium Web" w:hAnsi="Titillium Web"/>
          <w:b/>
          <w:sz w:val="20"/>
          <w:szCs w:val="20"/>
        </w:rPr>
      </w:pPr>
    </w:p>
    <w:p w14:paraId="000001AF"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associated with Derivatives Transactions</w:t>
      </w:r>
    </w:p>
    <w:p w14:paraId="000001B0" w14:textId="77777777" w:rsidR="00546EC1" w:rsidRPr="00BA2938" w:rsidRDefault="00546EC1" w:rsidP="00BA2938">
      <w:pPr>
        <w:tabs>
          <w:tab w:val="left" w:pos="900"/>
        </w:tabs>
        <w:spacing w:after="0" w:line="240" w:lineRule="auto"/>
        <w:jc w:val="both"/>
        <w:rPr>
          <w:rFonts w:ascii="Titillium Web" w:hAnsi="Titillium Web"/>
          <w:b/>
          <w:sz w:val="20"/>
          <w:szCs w:val="20"/>
        </w:rPr>
      </w:pPr>
    </w:p>
    <w:p w14:paraId="000001B1" w14:textId="77777777" w:rsidR="00546EC1" w:rsidRPr="00BA2938" w:rsidRDefault="00000000" w:rsidP="00BA2938">
      <w:pPr>
        <w:tabs>
          <w:tab w:val="left" w:pos="900"/>
        </w:tabs>
        <w:spacing w:after="0" w:line="240" w:lineRule="auto"/>
        <w:jc w:val="both"/>
        <w:rPr>
          <w:rFonts w:ascii="Titillium Web" w:hAnsi="Titillium Web"/>
          <w:b/>
          <w:sz w:val="20"/>
          <w:szCs w:val="20"/>
        </w:rPr>
      </w:pPr>
      <w:r w:rsidRPr="00BA2938">
        <w:rPr>
          <w:rFonts w:ascii="Titillium Web" w:hAnsi="Titillium Web"/>
          <w:b/>
          <w:sz w:val="20"/>
          <w:szCs w:val="20"/>
        </w:rPr>
        <w:t xml:space="preserve">Systematic Risk: </w:t>
      </w:r>
      <w:r w:rsidRPr="00BA2938">
        <w:rPr>
          <w:rFonts w:ascii="Titillium Web" w:hAnsi="Titillium Web"/>
          <w:sz w:val="20"/>
          <w:szCs w:val="20"/>
        </w:rPr>
        <w:t>Systematic Risk is the risk associated with the entire market. Unlike unsystematic risk, it is not linked to a specific security or sector. Systematic risk is a market risk which can be due to macro-economic factors, news events, etc.</w:t>
      </w:r>
    </w:p>
    <w:p w14:paraId="000001B2" w14:textId="77777777" w:rsidR="00546EC1" w:rsidRPr="00BA2938" w:rsidRDefault="00546EC1" w:rsidP="00BA2938">
      <w:pPr>
        <w:tabs>
          <w:tab w:val="left" w:pos="900"/>
        </w:tabs>
        <w:spacing w:after="0" w:line="240" w:lineRule="auto"/>
        <w:jc w:val="both"/>
        <w:rPr>
          <w:rFonts w:ascii="Titillium Web" w:hAnsi="Titillium Web"/>
          <w:b/>
          <w:sz w:val="20"/>
          <w:szCs w:val="20"/>
        </w:rPr>
      </w:pPr>
    </w:p>
    <w:p w14:paraId="000001B3" w14:textId="77777777" w:rsidR="00546EC1" w:rsidRPr="00BA2938" w:rsidRDefault="00000000" w:rsidP="00BA2938">
      <w:pPr>
        <w:tabs>
          <w:tab w:val="left" w:pos="900"/>
        </w:tabs>
        <w:spacing w:after="0" w:line="240" w:lineRule="auto"/>
        <w:jc w:val="both"/>
        <w:rPr>
          <w:rFonts w:ascii="Titillium Web" w:hAnsi="Titillium Web"/>
          <w:sz w:val="20"/>
          <w:szCs w:val="20"/>
        </w:rPr>
      </w:pPr>
      <w:r w:rsidRPr="00BA2938">
        <w:rPr>
          <w:rFonts w:ascii="Titillium Web" w:hAnsi="Titillium Web"/>
          <w:b/>
          <w:sz w:val="20"/>
          <w:szCs w:val="20"/>
        </w:rPr>
        <w:t xml:space="preserve">Mark to Market Risk: </w:t>
      </w:r>
      <w:r w:rsidRPr="00BA2938">
        <w:rPr>
          <w:rFonts w:ascii="Titillium Web" w:hAnsi="Titillium Web"/>
          <w:sz w:val="20"/>
          <w:szCs w:val="20"/>
        </w:rPr>
        <w:t xml:space="preserve">This risk is on account of </w:t>
      </w:r>
      <w:proofErr w:type="gramStart"/>
      <w:r w:rsidRPr="00BA2938">
        <w:rPr>
          <w:rFonts w:ascii="Titillium Web" w:hAnsi="Titillium Web"/>
          <w:sz w:val="20"/>
          <w:szCs w:val="20"/>
        </w:rPr>
        <w:t>day to day</w:t>
      </w:r>
      <w:proofErr w:type="gramEnd"/>
      <w:r w:rsidRPr="00BA2938">
        <w:rPr>
          <w:rFonts w:ascii="Titillium Web" w:hAnsi="Titillium Web"/>
          <w:sz w:val="20"/>
          <w:szCs w:val="20"/>
        </w:rPr>
        <w:t xml:space="preserve"> fluctuations in the underlying Security and its derivative instrument, which can adversely impact the portfolio.</w:t>
      </w:r>
    </w:p>
    <w:p w14:paraId="000001B4" w14:textId="77777777" w:rsidR="00546EC1" w:rsidRPr="00BA2938" w:rsidRDefault="00000000" w:rsidP="00BA2938">
      <w:pPr>
        <w:tabs>
          <w:tab w:val="left" w:pos="900"/>
        </w:tabs>
        <w:spacing w:after="0" w:line="240" w:lineRule="auto"/>
        <w:jc w:val="both"/>
        <w:rPr>
          <w:rFonts w:ascii="Titillium Web" w:hAnsi="Titillium Web"/>
          <w:b/>
          <w:sz w:val="20"/>
          <w:szCs w:val="20"/>
        </w:rPr>
      </w:pPr>
      <w:r w:rsidRPr="00BA2938">
        <w:rPr>
          <w:rFonts w:ascii="Titillium Web" w:hAnsi="Titillium Web"/>
          <w:b/>
          <w:sz w:val="20"/>
          <w:szCs w:val="20"/>
        </w:rPr>
        <w:tab/>
      </w:r>
    </w:p>
    <w:p w14:paraId="000001B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Credit Risk: </w:t>
      </w:r>
      <w:r w:rsidRPr="00BA2938">
        <w:rPr>
          <w:rFonts w:ascii="Titillium Web" w:hAnsi="Titillium Web"/>
          <w:sz w:val="20"/>
          <w:szCs w:val="20"/>
        </w:rPr>
        <w:t>The credit risk is the risk that the counter party will default in its obligations and is generally small as in a Derivative transaction there is generally no exchange of the principal amount.</w:t>
      </w:r>
    </w:p>
    <w:p w14:paraId="000001B6" w14:textId="77777777" w:rsidR="00546EC1" w:rsidRPr="00BA2938" w:rsidRDefault="00546EC1" w:rsidP="00BA2938">
      <w:pPr>
        <w:spacing w:after="0" w:line="240" w:lineRule="auto"/>
        <w:jc w:val="both"/>
        <w:rPr>
          <w:rFonts w:ascii="Titillium Web" w:hAnsi="Titillium Web"/>
          <w:sz w:val="20"/>
          <w:szCs w:val="20"/>
        </w:rPr>
      </w:pPr>
    </w:p>
    <w:p w14:paraId="000001B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Interest rate risk</w:t>
      </w:r>
      <w:r w:rsidRPr="00BA2938">
        <w:rPr>
          <w:rFonts w:ascii="Titillium Web" w:hAnsi="Titillium Web"/>
          <w:sz w:val="20"/>
          <w:szCs w:val="20"/>
        </w:rPr>
        <w:t>: Derivatives carry the risk of adverse changes in the price due to change in interest rates.</w:t>
      </w:r>
    </w:p>
    <w:p w14:paraId="000001B8" w14:textId="77777777" w:rsidR="00546EC1" w:rsidRPr="00BA2938" w:rsidRDefault="00546EC1" w:rsidP="00BA2938">
      <w:pPr>
        <w:spacing w:after="0" w:line="240" w:lineRule="auto"/>
        <w:jc w:val="both"/>
        <w:rPr>
          <w:rFonts w:ascii="Titillium Web" w:hAnsi="Titillium Web"/>
          <w:sz w:val="20"/>
          <w:szCs w:val="20"/>
        </w:rPr>
      </w:pPr>
    </w:p>
    <w:p w14:paraId="000001B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Basis Risk: </w:t>
      </w:r>
      <w:r w:rsidRPr="00BA2938">
        <w:rPr>
          <w:rFonts w:ascii="Titillium Web" w:hAnsi="Titillium Web"/>
          <w:sz w:val="20"/>
          <w:szCs w:val="20"/>
        </w:rPr>
        <w:t>When a security is hedged using a Derivative, the change in price of the security and the change in price of the Derivative may not be fully correlated leading to basis risk in the portfolio.</w:t>
      </w:r>
    </w:p>
    <w:p w14:paraId="000001BA" w14:textId="77777777" w:rsidR="00546EC1" w:rsidRPr="00BA2938" w:rsidRDefault="00546EC1" w:rsidP="00BA2938">
      <w:pPr>
        <w:spacing w:after="0" w:line="240" w:lineRule="auto"/>
        <w:jc w:val="both"/>
        <w:rPr>
          <w:rFonts w:ascii="Titillium Web" w:hAnsi="Titillium Web"/>
          <w:sz w:val="20"/>
          <w:szCs w:val="20"/>
        </w:rPr>
      </w:pPr>
    </w:p>
    <w:p w14:paraId="000001B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w:t>
      </w:r>
      <w:r w:rsidRPr="00BA2938">
        <w:rPr>
          <w:rFonts w:ascii="Titillium Web" w:hAnsi="Titillium Web"/>
          <w:sz w:val="20"/>
          <w:szCs w:val="20"/>
        </w:rPr>
        <w:t>During the life of the Derivative, the benchmark might become Illiquid and might not be fully capturing the interest rate changes in the market, or the selling, unwinding prices might not reflect the underlying assets, rates and indices, leading to loss of value of the portfolio.</w:t>
      </w:r>
    </w:p>
    <w:p w14:paraId="000001BC" w14:textId="77777777" w:rsidR="00546EC1" w:rsidRPr="00BA2938" w:rsidRDefault="00546EC1" w:rsidP="00BA2938">
      <w:pPr>
        <w:spacing w:after="0" w:line="240" w:lineRule="auto"/>
        <w:jc w:val="both"/>
        <w:rPr>
          <w:rFonts w:ascii="Titillium Web" w:hAnsi="Titillium Web"/>
          <w:sz w:val="20"/>
          <w:szCs w:val="20"/>
        </w:rPr>
      </w:pPr>
    </w:p>
    <w:p w14:paraId="000001B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Model Risk: </w:t>
      </w:r>
      <w:r w:rsidRPr="00BA2938">
        <w:rPr>
          <w:rFonts w:ascii="Titillium Web" w:hAnsi="Titillium Web"/>
          <w:sz w:val="20"/>
          <w:szCs w:val="20"/>
        </w:rPr>
        <w:t>The risk of mis–pricing or improper valuation of Derivatives.</w:t>
      </w:r>
    </w:p>
    <w:p w14:paraId="000001BE" w14:textId="77777777" w:rsidR="00546EC1" w:rsidRPr="00BA2938" w:rsidRDefault="00546EC1" w:rsidP="00BA2938">
      <w:pPr>
        <w:spacing w:after="0" w:line="240" w:lineRule="auto"/>
        <w:jc w:val="both"/>
        <w:rPr>
          <w:rFonts w:ascii="Titillium Web" w:hAnsi="Titillium Web"/>
          <w:sz w:val="20"/>
          <w:szCs w:val="20"/>
        </w:rPr>
      </w:pPr>
    </w:p>
    <w:p w14:paraId="000001B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Trade Execution: </w:t>
      </w:r>
      <w:r w:rsidRPr="00BA2938">
        <w:rPr>
          <w:rFonts w:ascii="Titillium Web" w:hAnsi="Titillium Web"/>
          <w:sz w:val="20"/>
          <w:szCs w:val="20"/>
        </w:rPr>
        <w:t xml:space="preserve">Risk where the final execution price is different from the screen price, leading to dilution in the spreads. </w:t>
      </w:r>
    </w:p>
    <w:p w14:paraId="000001C0" w14:textId="77777777" w:rsidR="00546EC1" w:rsidRPr="00BA2938" w:rsidRDefault="00546EC1" w:rsidP="00BA2938">
      <w:pPr>
        <w:spacing w:after="0" w:line="240" w:lineRule="auto"/>
        <w:jc w:val="both"/>
        <w:rPr>
          <w:rFonts w:ascii="Titillium Web" w:hAnsi="Titillium Web"/>
          <w:sz w:val="20"/>
          <w:szCs w:val="20"/>
        </w:rPr>
      </w:pPr>
    </w:p>
    <w:p w14:paraId="000001C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Systemic Risk: </w:t>
      </w:r>
      <w:r w:rsidRPr="00BA2938">
        <w:rPr>
          <w:rFonts w:ascii="Titillium Web" w:hAnsi="Titillium Web"/>
          <w:sz w:val="20"/>
          <w:szCs w:val="20"/>
        </w:rPr>
        <w:t>For Derivatives, especially OTC ones the failure of one Counter Party can put the whole system at risk and the whole system can come to a halt.</w:t>
      </w:r>
    </w:p>
    <w:p w14:paraId="000001C2" w14:textId="77777777" w:rsidR="00546EC1" w:rsidRPr="00BA2938" w:rsidRDefault="00546EC1" w:rsidP="00BA2938">
      <w:pPr>
        <w:spacing w:after="0" w:line="240" w:lineRule="auto"/>
        <w:jc w:val="both"/>
        <w:rPr>
          <w:rFonts w:ascii="Titillium Web" w:hAnsi="Titillium Web"/>
          <w:sz w:val="20"/>
          <w:szCs w:val="20"/>
        </w:rPr>
      </w:pPr>
    </w:p>
    <w:p w14:paraId="000001C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The scheme may invest in various derivative products in accordance with and to the extent permitted under the regulations from time to time.</w:t>
      </w:r>
    </w:p>
    <w:p w14:paraId="000001C4" w14:textId="77777777" w:rsidR="00546EC1" w:rsidRPr="00BA2938" w:rsidRDefault="00546EC1" w:rsidP="00BA2938">
      <w:pPr>
        <w:spacing w:after="0" w:line="240" w:lineRule="auto"/>
        <w:jc w:val="both"/>
        <w:rPr>
          <w:rFonts w:ascii="Titillium Web" w:hAnsi="Titillium Web"/>
          <w:sz w:val="20"/>
          <w:szCs w:val="20"/>
        </w:rPr>
      </w:pPr>
    </w:p>
    <w:p w14:paraId="000001C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Derivatives are financial contracts of pre-determined fixed duration, like stock Futures /options and index futures and options, whose values are derived from the value of an underlying primary financial instrument such as: Equities, Interest rates, Exchange rates.</w:t>
      </w:r>
    </w:p>
    <w:p w14:paraId="000001C6" w14:textId="77777777" w:rsidR="00546EC1" w:rsidRPr="00BA2938" w:rsidRDefault="00546EC1" w:rsidP="00BA2938">
      <w:pPr>
        <w:spacing w:after="0" w:line="240" w:lineRule="auto"/>
        <w:jc w:val="both"/>
        <w:rPr>
          <w:rFonts w:ascii="Titillium Web" w:hAnsi="Titillium Web"/>
          <w:sz w:val="20"/>
          <w:szCs w:val="20"/>
        </w:rPr>
      </w:pPr>
    </w:p>
    <w:p w14:paraId="000001C7"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Derivative products are specialized instruments that require investment techniques and risk analysis which are different from those associated with stocks and other traditional securities.</w:t>
      </w:r>
    </w:p>
    <w:p w14:paraId="000001C8" w14:textId="77777777" w:rsidR="00546EC1" w:rsidRPr="00BA2938" w:rsidRDefault="00546EC1" w:rsidP="00BA2938">
      <w:pPr>
        <w:spacing w:after="0" w:line="240" w:lineRule="auto"/>
        <w:jc w:val="both"/>
        <w:rPr>
          <w:rFonts w:ascii="Titillium Web" w:hAnsi="Titillium Web"/>
          <w:sz w:val="20"/>
          <w:szCs w:val="20"/>
        </w:rPr>
      </w:pPr>
    </w:p>
    <w:p w14:paraId="000001C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Derivatives are highly leveraged instruments and a small price fluctuation in the underlying can have a larger impact on its value. Thus, its use can lead to disproportionate gains or losses to the portfolio. Execution of derivatives instruments depends on the ability of the fund manager to identify good opportunities. Identification and execution of the strategies to be pursued by the fund manager involve uncertainty and decision of fund manager may not always be profitable. No assurance can be given that the fund manager will be able to identify or execute such strategies.</w:t>
      </w:r>
    </w:p>
    <w:p w14:paraId="000001CA" w14:textId="77777777" w:rsidR="00546EC1" w:rsidRPr="00BA2938" w:rsidRDefault="00546EC1" w:rsidP="00BA2938">
      <w:pPr>
        <w:spacing w:after="0" w:line="240" w:lineRule="auto"/>
        <w:jc w:val="both"/>
        <w:rPr>
          <w:rFonts w:ascii="Titillium Web" w:hAnsi="Titillium Web"/>
          <w:sz w:val="20"/>
          <w:szCs w:val="20"/>
        </w:rPr>
      </w:pPr>
    </w:p>
    <w:p w14:paraId="000001C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highlight w:val="white"/>
        </w:rPr>
        <w:t>The risks associated with the use of Derivatives are different from or possibly greater than, the risks associated with investing directly in securities and other traditional investments.</w:t>
      </w:r>
    </w:p>
    <w:p w14:paraId="000001CC" w14:textId="77777777" w:rsidR="00546EC1" w:rsidRPr="00BA2938" w:rsidRDefault="00546EC1" w:rsidP="00BA2938">
      <w:pPr>
        <w:spacing w:after="0" w:line="240" w:lineRule="auto"/>
        <w:jc w:val="both"/>
        <w:rPr>
          <w:rFonts w:ascii="Titillium Web" w:hAnsi="Titillium Web"/>
          <w:sz w:val="20"/>
          <w:szCs w:val="20"/>
        </w:rPr>
      </w:pPr>
    </w:p>
    <w:p w14:paraId="000001CD"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 associated with Short Selling &amp; Securities Lending</w:t>
      </w:r>
    </w:p>
    <w:p w14:paraId="000001C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Securities Lending is a lending of securities through an approved intermediary to a borrower under an agreement for a specified period with the condition that the borrower will return equivalent securities of the same type or class at the end of the specified period along with the corporate benefits accruing on the securities borrowed. There are risks inherent in securities lending, including the risk of failure of the other party, in this case the approved intermediary to comply with the terms of the agreement. Such failure can result in a possible loss of rights to the collateral, the inability of the approved intermediary to return the securities deposited by the lender and the possible loss of corporate benefits accruing thereon.</w:t>
      </w:r>
    </w:p>
    <w:p w14:paraId="000001CF" w14:textId="77777777" w:rsidR="00546EC1" w:rsidRPr="00BA2938" w:rsidRDefault="00546EC1" w:rsidP="00BA2938">
      <w:pPr>
        <w:spacing w:after="0" w:line="240" w:lineRule="auto"/>
        <w:jc w:val="both"/>
        <w:rPr>
          <w:rFonts w:ascii="Titillium Web" w:hAnsi="Titillium Web"/>
          <w:sz w:val="20"/>
          <w:szCs w:val="20"/>
        </w:rPr>
      </w:pPr>
    </w:p>
    <w:p w14:paraId="000001D0" w14:textId="77777777" w:rsidR="00546EC1" w:rsidRPr="00BA2938" w:rsidRDefault="00000000" w:rsidP="00BA2938">
      <w:pPr>
        <w:spacing w:after="0" w:line="240" w:lineRule="auto"/>
        <w:jc w:val="both"/>
        <w:rPr>
          <w:rFonts w:ascii="Titillium Web" w:hAnsi="Titillium Web"/>
          <w:sz w:val="20"/>
          <w:szCs w:val="20"/>
        </w:rPr>
      </w:pPr>
      <w:proofErr w:type="gramStart"/>
      <w:r w:rsidRPr="00BA2938">
        <w:rPr>
          <w:rFonts w:ascii="Titillium Web" w:hAnsi="Titillium Web"/>
          <w:sz w:val="20"/>
          <w:szCs w:val="20"/>
        </w:rPr>
        <w:t>Short-selling</w:t>
      </w:r>
      <w:proofErr w:type="gramEnd"/>
      <w:r w:rsidRPr="00BA2938">
        <w:rPr>
          <w:rFonts w:ascii="Titillium Web" w:hAnsi="Titillium Web"/>
          <w:sz w:val="20"/>
          <w:szCs w:val="20"/>
        </w:rPr>
        <w:t xml:space="preserve"> is the sale of shares or securities that the seller does not own at the time of trading.  Instead, he borrows it from someone who already owns it. Later, the short seller buys back the stock/security he shorted and returns the stock/security to the lender to close out the loan. The inherent risks are Counterparty risk and liquidity risk of the stock/security being borrowed. The security being short sold might be illiquid or become illiquid and covering of the security might occur at a much higher price level than anticipated, leading to losses.</w:t>
      </w:r>
    </w:p>
    <w:p w14:paraId="000001D1" w14:textId="77777777" w:rsidR="00546EC1" w:rsidRPr="00BA2938" w:rsidRDefault="00546EC1" w:rsidP="00BA2938">
      <w:pPr>
        <w:spacing w:after="0" w:line="240" w:lineRule="auto"/>
        <w:jc w:val="both"/>
        <w:rPr>
          <w:rFonts w:ascii="Titillium Web" w:hAnsi="Titillium Web"/>
          <w:sz w:val="20"/>
          <w:szCs w:val="20"/>
        </w:rPr>
      </w:pPr>
    </w:p>
    <w:p w14:paraId="000001D2"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 factor associated with segregated portfolio</w:t>
      </w:r>
    </w:p>
    <w:p w14:paraId="000001D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Investor holding units of segregated portfolio may </w:t>
      </w:r>
      <w:proofErr w:type="gramStart"/>
      <w:r w:rsidRPr="00BA2938">
        <w:rPr>
          <w:rFonts w:ascii="Titillium Web" w:hAnsi="Titillium Web"/>
          <w:sz w:val="20"/>
          <w:szCs w:val="20"/>
        </w:rPr>
        <w:t>not</w:t>
      </w:r>
      <w:proofErr w:type="gramEnd"/>
      <w:r w:rsidRPr="00BA2938">
        <w:rPr>
          <w:rFonts w:ascii="Titillium Web" w:hAnsi="Titillium Web"/>
          <w:sz w:val="20"/>
          <w:szCs w:val="20"/>
        </w:rPr>
        <w:t xml:space="preserve"> able to liquidate their holding till the time realisable value is recovered. </w:t>
      </w:r>
    </w:p>
    <w:p w14:paraId="000001D4" w14:textId="77777777" w:rsidR="00546EC1" w:rsidRPr="00BA2938" w:rsidRDefault="00546EC1" w:rsidP="00BA2938">
      <w:pPr>
        <w:spacing w:after="0" w:line="240" w:lineRule="auto"/>
        <w:jc w:val="both"/>
        <w:rPr>
          <w:rFonts w:ascii="Titillium Web" w:hAnsi="Titillium Web"/>
          <w:sz w:val="20"/>
          <w:szCs w:val="20"/>
        </w:rPr>
      </w:pPr>
    </w:p>
    <w:p w14:paraId="000001D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Security comprising of segregated portfolio may realise lower value or may realise zero value. </w:t>
      </w:r>
    </w:p>
    <w:p w14:paraId="000001D6" w14:textId="77777777" w:rsidR="00546EC1" w:rsidRPr="00BA2938" w:rsidRDefault="00546EC1" w:rsidP="00BA2938">
      <w:pPr>
        <w:spacing w:after="0" w:line="240" w:lineRule="auto"/>
        <w:jc w:val="both"/>
        <w:rPr>
          <w:rFonts w:ascii="Titillium Web" w:hAnsi="Titillium Web"/>
          <w:sz w:val="20"/>
          <w:szCs w:val="20"/>
        </w:rPr>
      </w:pPr>
    </w:p>
    <w:p w14:paraId="000001D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Listing of units of segregated portfolio in recognized stock exchange does not necessarily guarantee their liquidity. There may not be active trading of units in the stock market. Further trading price of units on the stock market may be significantly lower than the prevailing NAV.   </w:t>
      </w:r>
    </w:p>
    <w:p w14:paraId="000001D8" w14:textId="77777777" w:rsidR="00546EC1" w:rsidRPr="00BA2938" w:rsidRDefault="00546EC1" w:rsidP="00BA2938">
      <w:pPr>
        <w:spacing w:after="0" w:line="240" w:lineRule="auto"/>
        <w:jc w:val="both"/>
        <w:rPr>
          <w:rFonts w:ascii="Titillium Web" w:hAnsi="Titillium Web"/>
          <w:sz w:val="20"/>
          <w:szCs w:val="20"/>
        </w:rPr>
      </w:pPr>
    </w:p>
    <w:p w14:paraId="000001D9"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factors associated with investments in Repo Transactions in Corporate Bond:</w:t>
      </w:r>
    </w:p>
    <w:p w14:paraId="000001D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lastRenderedPageBreak/>
        <w:t xml:space="preserve">In repo transactions, securities are sold with the seller agreeing to buy them back at later date. The repurchase price should be greater than the original sale price, the difference effectively representing interest. A repo is economically </w:t>
      </w:r>
      <w:proofErr w:type="gramStart"/>
      <w:r w:rsidRPr="00BA2938">
        <w:rPr>
          <w:rFonts w:ascii="Titillium Web" w:hAnsi="Titillium Web"/>
          <w:sz w:val="20"/>
          <w:szCs w:val="20"/>
        </w:rPr>
        <w:t>similar to</w:t>
      </w:r>
      <w:proofErr w:type="gramEnd"/>
      <w:r w:rsidRPr="00BA2938">
        <w:rPr>
          <w:rFonts w:ascii="Titillium Web" w:hAnsi="Titillium Web"/>
          <w:sz w:val="20"/>
          <w:szCs w:val="20"/>
        </w:rPr>
        <w:t xml:space="preserve"> a secured loan, with the buyer receiving corporate debt securities as collateral to protect against default. The Scheme may invest in repo of corporate debt securities which are subject to the following risks:</w:t>
      </w:r>
    </w:p>
    <w:p w14:paraId="000001DB" w14:textId="77777777" w:rsidR="00546EC1" w:rsidRPr="00BA2938" w:rsidRDefault="00546EC1" w:rsidP="00BA2938">
      <w:pPr>
        <w:spacing w:after="0" w:line="240" w:lineRule="auto"/>
        <w:jc w:val="both"/>
        <w:rPr>
          <w:rFonts w:ascii="Titillium Web" w:hAnsi="Titillium Web"/>
          <w:sz w:val="20"/>
          <w:szCs w:val="20"/>
        </w:rPr>
      </w:pPr>
    </w:p>
    <w:p w14:paraId="000001D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Counter party Risk: </w:t>
      </w:r>
      <w:r w:rsidRPr="00BA2938">
        <w:rPr>
          <w:rFonts w:ascii="Titillium Web" w:hAnsi="Titillium Web"/>
          <w:sz w:val="20"/>
          <w:szCs w:val="20"/>
        </w:rPr>
        <w:t xml:space="preserve">This refers to the inability of the seller to meet the obligation to buy back securities at the contracted price on the contracted date. The Investment Manager will endeavour to manage counterparty risk by dealing only with counterparties, having strong credit profiles, approved by our credit risk analysis team. The exposure to each counterparty will be within the overall approved credit limits. Also, the counterparty risk is to an extent mitigated by taking collateral equivalent in value to the transaction after knocking off a minimum haircut on the intrinsic value of the collateral. In the event of default by the repo counterparty, the scheme shall have recourse to the corporate debt securities. </w:t>
      </w:r>
    </w:p>
    <w:p w14:paraId="000001DD" w14:textId="77777777" w:rsidR="00546EC1" w:rsidRPr="00BA2938" w:rsidRDefault="00546EC1" w:rsidP="00BA2938">
      <w:pPr>
        <w:spacing w:after="0" w:line="240" w:lineRule="auto"/>
        <w:jc w:val="both"/>
        <w:rPr>
          <w:rFonts w:ascii="Titillium Web" w:hAnsi="Titillium Web"/>
          <w:sz w:val="20"/>
          <w:szCs w:val="20"/>
        </w:rPr>
      </w:pPr>
    </w:p>
    <w:p w14:paraId="000001D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Collateral Risk: </w:t>
      </w:r>
      <w:r w:rsidRPr="00BA2938">
        <w:rPr>
          <w:rFonts w:ascii="Titillium Web" w:hAnsi="Titillium Web"/>
          <w:sz w:val="20"/>
          <w:szCs w:val="20"/>
        </w:rPr>
        <w:t xml:space="preserve">Collateral risk arises when the market value of the securities is inadequate to meet the repo obligations. This risk is mitigated by restricting participation in repo transactions only in AA or equivalent and above rated money market and corporate debt securities. Any rating downgrade </w:t>
      </w:r>
      <w:proofErr w:type="gramStart"/>
      <w:r w:rsidRPr="00BA2938">
        <w:rPr>
          <w:rFonts w:ascii="Titillium Web" w:hAnsi="Titillium Web"/>
          <w:sz w:val="20"/>
          <w:szCs w:val="20"/>
        </w:rPr>
        <w:t>will</w:t>
      </w:r>
      <w:proofErr w:type="gramEnd"/>
      <w:r w:rsidRPr="00BA2938">
        <w:rPr>
          <w:rFonts w:ascii="Titillium Web" w:hAnsi="Titillium Web"/>
          <w:sz w:val="20"/>
          <w:szCs w:val="20"/>
        </w:rPr>
        <w:t xml:space="preserve"> tantamount to either an early termination of the repo agreement or a call for fresh margin to meet the minimum haircut requirement. In addition, the Investment manager may apply a higher haircut on the underlying security than mentioned above to adjust for the illiquidity and interest rate risk on the underlying instrument. The adequacy of the collateral will be monitored </w:t>
      </w:r>
      <w:proofErr w:type="gramStart"/>
      <w:r w:rsidRPr="00BA2938">
        <w:rPr>
          <w:rFonts w:ascii="Titillium Web" w:hAnsi="Titillium Web"/>
          <w:sz w:val="20"/>
          <w:szCs w:val="20"/>
        </w:rPr>
        <w:t>on a daily basis</w:t>
      </w:r>
      <w:proofErr w:type="gramEnd"/>
      <w:r w:rsidRPr="00BA2938">
        <w:rPr>
          <w:rFonts w:ascii="Titillium Web" w:hAnsi="Titillium Web"/>
          <w:sz w:val="20"/>
          <w:szCs w:val="20"/>
        </w:rPr>
        <w:t xml:space="preserve"> by considering the daily market value &amp; applying the prescribed haircut. The fund manager shall then arrange for additional collateral from the counterparty, within a period of 1 business day. If the counterparty is not able to top-up either in form of cash / collateral, it </w:t>
      </w:r>
      <w:proofErr w:type="gramStart"/>
      <w:r w:rsidRPr="00BA2938">
        <w:rPr>
          <w:rFonts w:ascii="Titillium Web" w:hAnsi="Titillium Web"/>
          <w:sz w:val="20"/>
          <w:szCs w:val="20"/>
        </w:rPr>
        <w:t>shall</w:t>
      </w:r>
      <w:proofErr w:type="gramEnd"/>
      <w:r w:rsidRPr="00BA2938">
        <w:rPr>
          <w:rFonts w:ascii="Titillium Web" w:hAnsi="Titillium Web"/>
          <w:sz w:val="20"/>
          <w:szCs w:val="20"/>
        </w:rPr>
        <w:t xml:space="preserve"> tantamount to early termination of the repo agreement.</w:t>
      </w:r>
    </w:p>
    <w:p w14:paraId="000001DF" w14:textId="77777777" w:rsidR="00546EC1" w:rsidRPr="00BA2938" w:rsidRDefault="00546EC1" w:rsidP="00BA2938">
      <w:pPr>
        <w:spacing w:after="0" w:line="240" w:lineRule="auto"/>
        <w:jc w:val="both"/>
        <w:rPr>
          <w:rFonts w:ascii="Titillium Web" w:hAnsi="Titillium Web"/>
          <w:sz w:val="20"/>
          <w:szCs w:val="20"/>
        </w:rPr>
      </w:pPr>
    </w:p>
    <w:p w14:paraId="000001E0"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 Mitigation Process:</w:t>
      </w:r>
    </w:p>
    <w:p w14:paraId="000001E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risk control process involves reducing risks through portfolio diversification. This diversification would help achieve the desired level of consistency in returns. The AMC aims to identify securities, which offer superior levels of yield at lower levels of risks. There would be regular rebalancing of the portfolio, </w:t>
      </w:r>
      <w:proofErr w:type="gramStart"/>
      <w:r w:rsidRPr="00BA2938">
        <w:rPr>
          <w:rFonts w:ascii="Titillium Web" w:hAnsi="Titillium Web"/>
          <w:sz w:val="20"/>
          <w:szCs w:val="20"/>
        </w:rPr>
        <w:t>taking into account</w:t>
      </w:r>
      <w:proofErr w:type="gramEnd"/>
      <w:r w:rsidRPr="00BA2938">
        <w:rPr>
          <w:rFonts w:ascii="Titillium Web" w:hAnsi="Titillium Web"/>
          <w:sz w:val="20"/>
          <w:szCs w:val="20"/>
        </w:rPr>
        <w:t xml:space="preserve"> the change in weights of stocks in the Index.</w:t>
      </w:r>
    </w:p>
    <w:p w14:paraId="000001E2" w14:textId="77777777" w:rsidR="00546EC1" w:rsidRPr="00BA2938" w:rsidRDefault="00546EC1" w:rsidP="00BA2938">
      <w:pPr>
        <w:spacing w:after="0" w:line="240" w:lineRule="auto"/>
        <w:jc w:val="both"/>
        <w:rPr>
          <w:rFonts w:ascii="Titillium Web" w:hAnsi="Titillium Web"/>
          <w:sz w:val="20"/>
          <w:szCs w:val="20"/>
        </w:rPr>
      </w:pPr>
    </w:p>
    <w:p w14:paraId="000001E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Nifty Midcap 150 Index Fund being a passive investment carries lesser risk as compared to active fund management. The portfolio follows the index and therefore the level of stock concentration in the portfolio and its volatility would be the same as that of the index, subject to tracking error. </w:t>
      </w:r>
      <w:proofErr w:type="gramStart"/>
      <w:r w:rsidRPr="00BA2938">
        <w:rPr>
          <w:rFonts w:ascii="Titillium Web" w:hAnsi="Titillium Web"/>
          <w:sz w:val="20"/>
          <w:szCs w:val="20"/>
        </w:rPr>
        <w:t>Thus</w:t>
      </w:r>
      <w:proofErr w:type="gramEnd"/>
      <w:r w:rsidRPr="00BA2938">
        <w:rPr>
          <w:rFonts w:ascii="Titillium Web" w:hAnsi="Titillium Web"/>
          <w:sz w:val="20"/>
          <w:szCs w:val="20"/>
        </w:rPr>
        <w:t xml:space="preserve"> there is no additional element of volatility or stock concentration on account of fund manager decisions.</w:t>
      </w:r>
    </w:p>
    <w:p w14:paraId="000001E4" w14:textId="77777777" w:rsidR="00546EC1" w:rsidRPr="00BA2938" w:rsidRDefault="00546EC1" w:rsidP="00BA2938">
      <w:pPr>
        <w:spacing w:after="0" w:line="240" w:lineRule="auto"/>
        <w:jc w:val="both"/>
        <w:rPr>
          <w:rFonts w:ascii="Titillium Web" w:hAnsi="Titillium Web"/>
          <w:sz w:val="20"/>
          <w:szCs w:val="20"/>
        </w:rPr>
      </w:pPr>
    </w:p>
    <w:p w14:paraId="000001E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While these measures are expected to </w:t>
      </w:r>
      <w:proofErr w:type="gramStart"/>
      <w:r w:rsidRPr="00BA2938">
        <w:rPr>
          <w:rFonts w:ascii="Titillium Web" w:hAnsi="Titillium Web"/>
          <w:sz w:val="20"/>
          <w:szCs w:val="20"/>
        </w:rPr>
        <w:t>mitigate the above risks to a large extent</w:t>
      </w:r>
      <w:proofErr w:type="gramEnd"/>
      <w:r w:rsidRPr="00BA2938">
        <w:rPr>
          <w:rFonts w:ascii="Titillium Web" w:hAnsi="Titillium Web"/>
          <w:sz w:val="20"/>
          <w:szCs w:val="20"/>
        </w:rPr>
        <w:t>, there can be no assurance that these risks would be completely eliminated.</w:t>
      </w:r>
    </w:p>
    <w:p w14:paraId="000001E6" w14:textId="77777777" w:rsidR="00546EC1" w:rsidRPr="00BA2938" w:rsidRDefault="00546EC1" w:rsidP="00BA2938">
      <w:pPr>
        <w:spacing w:after="0" w:line="240" w:lineRule="auto"/>
        <w:jc w:val="both"/>
        <w:rPr>
          <w:rFonts w:ascii="Titillium Web" w:hAnsi="Titillium Web"/>
          <w:sz w:val="20"/>
          <w:szCs w:val="20"/>
        </w:rPr>
      </w:pPr>
    </w:p>
    <w:p w14:paraId="000001E7" w14:textId="77777777" w:rsidR="00546EC1" w:rsidRPr="00BA2938" w:rsidRDefault="00000000" w:rsidP="00BA2938">
      <w:pPr>
        <w:pStyle w:val="Heading2"/>
        <w:spacing w:before="0" w:line="240" w:lineRule="auto"/>
        <w:jc w:val="both"/>
        <w:rPr>
          <w:rFonts w:ascii="Titillium Web" w:eastAsia="Calibri" w:hAnsi="Titillium Web" w:cs="Calibri"/>
          <w:color w:val="000000"/>
          <w:sz w:val="20"/>
          <w:szCs w:val="20"/>
        </w:rPr>
      </w:pPr>
      <w:bookmarkStart w:id="9" w:name="_heading=h.vmsa97pzpgbm" w:colFirst="0" w:colLast="0"/>
      <w:bookmarkEnd w:id="9"/>
      <w:r w:rsidRPr="00BA2938">
        <w:rPr>
          <w:rFonts w:ascii="Titillium Web" w:eastAsia="Calibri" w:hAnsi="Titillium Web" w:cs="Calibri"/>
          <w:b/>
          <w:color w:val="000000"/>
          <w:sz w:val="20"/>
          <w:szCs w:val="20"/>
        </w:rPr>
        <w:t xml:space="preserve">Risk mitigation strategies </w:t>
      </w:r>
    </w:p>
    <w:tbl>
      <w:tblPr>
        <w:tblStyle w:val="a1"/>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5103"/>
      </w:tblGrid>
      <w:tr w:rsidR="00546EC1" w:rsidRPr="00BA2938" w14:paraId="02FB58AA" w14:textId="77777777">
        <w:tc>
          <w:tcPr>
            <w:tcW w:w="4390" w:type="dxa"/>
          </w:tcPr>
          <w:p w14:paraId="000001E8"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sz w:val="20"/>
                <w:szCs w:val="20"/>
              </w:rPr>
            </w:pPr>
            <w:r w:rsidRPr="00BA2938">
              <w:rPr>
                <w:rFonts w:ascii="Titillium Web" w:hAnsi="Titillium Web"/>
                <w:b/>
                <w:sz w:val="20"/>
                <w:szCs w:val="20"/>
              </w:rPr>
              <w:t>Risk and Description</w:t>
            </w:r>
          </w:p>
        </w:tc>
        <w:tc>
          <w:tcPr>
            <w:tcW w:w="5103" w:type="dxa"/>
          </w:tcPr>
          <w:p w14:paraId="000001E9"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sz w:val="20"/>
                <w:szCs w:val="20"/>
              </w:rPr>
            </w:pPr>
            <w:r w:rsidRPr="00BA2938">
              <w:rPr>
                <w:rFonts w:ascii="Titillium Web" w:hAnsi="Titillium Web"/>
                <w:b/>
                <w:sz w:val="20"/>
                <w:szCs w:val="20"/>
              </w:rPr>
              <w:t>Risk Mitigants/management strategy</w:t>
            </w:r>
          </w:p>
        </w:tc>
      </w:tr>
      <w:tr w:rsidR="00546EC1" w:rsidRPr="00BA2938" w14:paraId="7F8521A2" w14:textId="77777777">
        <w:tc>
          <w:tcPr>
            <w:tcW w:w="9493" w:type="dxa"/>
            <w:gridSpan w:val="2"/>
          </w:tcPr>
          <w:p w14:paraId="000001EA"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b/>
                <w:sz w:val="20"/>
                <w:szCs w:val="20"/>
              </w:rPr>
              <w:lastRenderedPageBreak/>
              <w:t>Risks associated with Equity investments</w:t>
            </w:r>
          </w:p>
        </w:tc>
      </w:tr>
      <w:tr w:rsidR="00546EC1" w:rsidRPr="00BA2938" w14:paraId="316846AE" w14:textId="77777777">
        <w:tc>
          <w:tcPr>
            <w:tcW w:w="4390" w:type="dxa"/>
          </w:tcPr>
          <w:p w14:paraId="000001EC"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Derivatives Risk As and when the Scheme trades in the derivatives market there are risk factors and issues concerning the use of derivatives since derivative products are specialized instruments that require investment techniques and risk analyses different from those associated with stocks and bonds.</w:t>
            </w:r>
          </w:p>
        </w:tc>
        <w:tc>
          <w:tcPr>
            <w:tcW w:w="5103" w:type="dxa"/>
          </w:tcPr>
          <w:p w14:paraId="000001ED"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Derivatives will be used in the form of Index Options, Index Futures and other instruments as may be permitted by SEBI. All derivatives trade will be done only on the exchange with guaranteed settlement. The AMC monitors the portfolio and regulatory limits for derivatives through its front office monitoring system. Exposure to derivatives of stocks or underlying index will be done based on requisite research. Fund managers will endeavor to use derivatives which are liquid and traded frequently on the exchanges. Exposure with respect to derivatives shall be in line with regulatory limits and the limits specified in the SID. Such exposure shall also be regularly reviewed by the Fund manager. No OTC contracts will be entered into.</w:t>
            </w:r>
          </w:p>
        </w:tc>
      </w:tr>
      <w:tr w:rsidR="00546EC1" w:rsidRPr="00BA2938" w14:paraId="086C512A" w14:textId="77777777">
        <w:tc>
          <w:tcPr>
            <w:tcW w:w="4390" w:type="dxa"/>
          </w:tcPr>
          <w:p w14:paraId="000001EE"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 xml:space="preserve">Liquidity </w:t>
            </w:r>
            <w:proofErr w:type="gramStart"/>
            <w:r w:rsidRPr="00BA2938">
              <w:rPr>
                <w:rFonts w:ascii="Titillium Web" w:hAnsi="Titillium Web"/>
                <w:sz w:val="20"/>
                <w:szCs w:val="20"/>
              </w:rPr>
              <w:t>risk</w:t>
            </w:r>
            <w:proofErr w:type="gramEnd"/>
            <w:r w:rsidRPr="00BA2938">
              <w:rPr>
                <w:rFonts w:ascii="Titillium Web" w:hAnsi="Titillium Web"/>
                <w:sz w:val="20"/>
                <w:szCs w:val="20"/>
              </w:rPr>
              <w:t xml:space="preserve"> The liquidity of the Scheme’s investments is inherently restricted by trading volumes in the securities in which they invests</w:t>
            </w:r>
          </w:p>
        </w:tc>
        <w:tc>
          <w:tcPr>
            <w:tcW w:w="5103" w:type="dxa"/>
          </w:tcPr>
          <w:p w14:paraId="000001EF"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The Scheme will try to maintain a proper asset-liability match to ensure redemption payments are made on time and not affected by illiquidity of the underlying stocks</w:t>
            </w:r>
          </w:p>
        </w:tc>
      </w:tr>
      <w:tr w:rsidR="00546EC1" w:rsidRPr="00BA2938" w14:paraId="3E726477" w14:textId="77777777">
        <w:tc>
          <w:tcPr>
            <w:tcW w:w="4390" w:type="dxa"/>
          </w:tcPr>
          <w:p w14:paraId="000001F0"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Tracking Error risk (Volatility/ Concentration risk): The performance of the Scheme may not be commensurate with the performance of the underlying Index on any given day or over any given period</w:t>
            </w:r>
          </w:p>
        </w:tc>
        <w:tc>
          <w:tcPr>
            <w:tcW w:w="5103" w:type="dxa"/>
          </w:tcPr>
          <w:p w14:paraId="000001F1"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Tracking Error risk (Volatility/ Concentration risk): Over a short to medium period, the Scheme may carry the risk of variance between portfolio composition and Benchmark. The objectives of the Scheme are to track the performance of the Underlying Index over the same period, subject to tracking error. The Scheme would endeavor to maintain a low tracking error by actively aligning the portfolio in line with the Index.</w:t>
            </w:r>
          </w:p>
        </w:tc>
      </w:tr>
      <w:tr w:rsidR="00546EC1" w:rsidRPr="00BA2938" w14:paraId="45850983" w14:textId="77777777">
        <w:tc>
          <w:tcPr>
            <w:tcW w:w="9493" w:type="dxa"/>
            <w:gridSpan w:val="2"/>
          </w:tcPr>
          <w:p w14:paraId="000001F2"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sz w:val="20"/>
                <w:szCs w:val="20"/>
              </w:rPr>
            </w:pPr>
            <w:r w:rsidRPr="00BA2938">
              <w:rPr>
                <w:rFonts w:ascii="Titillium Web" w:hAnsi="Titillium Web"/>
                <w:b/>
                <w:sz w:val="20"/>
                <w:szCs w:val="20"/>
              </w:rPr>
              <w:t>Risks associated with Debt/Money market investments</w:t>
            </w:r>
          </w:p>
        </w:tc>
      </w:tr>
      <w:tr w:rsidR="00546EC1" w:rsidRPr="00BA2938" w14:paraId="1BCAD017" w14:textId="77777777">
        <w:tc>
          <w:tcPr>
            <w:tcW w:w="4390" w:type="dxa"/>
          </w:tcPr>
          <w:p w14:paraId="000001F4"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Market Risk/ Interest Rate Risk As with all debt securities, changes in interest rates may affect the Scheme’s Net Asset Value as the prices of securities generally increase as interest rates decline and generally decrease as interest rates rise. Prices of long-term securities generally fluctuate more in response to interest rate changes than do short-term securities. Indian debt markets can be volatile leading to the possibility of price movements up or down in fixed income securities and thereby to possible movements in the NAV</w:t>
            </w:r>
          </w:p>
        </w:tc>
        <w:tc>
          <w:tcPr>
            <w:tcW w:w="5103" w:type="dxa"/>
          </w:tcPr>
          <w:p w14:paraId="000001F5"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 xml:space="preserve">In a rising interest rate </w:t>
            </w:r>
            <w:proofErr w:type="gramStart"/>
            <w:r w:rsidRPr="00BA2938">
              <w:rPr>
                <w:rFonts w:ascii="Titillium Web" w:hAnsi="Titillium Web"/>
                <w:sz w:val="20"/>
                <w:szCs w:val="20"/>
              </w:rPr>
              <w:t>scenario</w:t>
            </w:r>
            <w:proofErr w:type="gramEnd"/>
            <w:r w:rsidRPr="00BA2938">
              <w:rPr>
                <w:rFonts w:ascii="Titillium Web" w:hAnsi="Titillium Web"/>
                <w:sz w:val="20"/>
                <w:szCs w:val="20"/>
              </w:rPr>
              <w:t xml:space="preserve"> the scheme may increase its investment in money market securities whereas if the interest rates are expected to fall the allocation to debt securities with longer maturity may be increased thereby mitigating risk to that extent.</w:t>
            </w:r>
          </w:p>
        </w:tc>
      </w:tr>
      <w:tr w:rsidR="00546EC1" w:rsidRPr="00BA2938" w14:paraId="4E9DD29A" w14:textId="77777777">
        <w:tc>
          <w:tcPr>
            <w:tcW w:w="4390" w:type="dxa"/>
          </w:tcPr>
          <w:p w14:paraId="000001F6"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lastRenderedPageBreak/>
              <w:t>Liquidity or Marketability Risk This refers to the ease with which a security can be sold at or near to its valuation yield-to-maturity (YTM).</w:t>
            </w:r>
          </w:p>
        </w:tc>
        <w:tc>
          <w:tcPr>
            <w:tcW w:w="5103" w:type="dxa"/>
          </w:tcPr>
          <w:p w14:paraId="000001F7"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The Scheme may invest in government securities and money market instruments. While the liquidity risk for government securities and money market instruments may be low</w:t>
            </w:r>
          </w:p>
        </w:tc>
      </w:tr>
      <w:tr w:rsidR="00546EC1" w:rsidRPr="00BA2938" w14:paraId="17A54C64" w14:textId="77777777">
        <w:tc>
          <w:tcPr>
            <w:tcW w:w="4390" w:type="dxa"/>
          </w:tcPr>
          <w:p w14:paraId="000001F8"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Credit Risk Credit risk or default risk refers to the risk that an issuer of a fixed income security may default (i.e., will be unable to make timely principal and interest payments on the security).</w:t>
            </w:r>
          </w:p>
        </w:tc>
        <w:tc>
          <w:tcPr>
            <w:tcW w:w="5103" w:type="dxa"/>
          </w:tcPr>
          <w:p w14:paraId="000001F9"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 xml:space="preserve">Management analysis will be used for identifying company specific risks. Management’s past track record will also be studied. </w:t>
            </w:r>
            <w:proofErr w:type="gramStart"/>
            <w:r w:rsidRPr="00BA2938">
              <w:rPr>
                <w:rFonts w:ascii="Titillium Web" w:hAnsi="Titillium Web"/>
                <w:sz w:val="20"/>
                <w:szCs w:val="20"/>
              </w:rPr>
              <w:t>In order to</w:t>
            </w:r>
            <w:proofErr w:type="gramEnd"/>
            <w:r w:rsidRPr="00BA2938">
              <w:rPr>
                <w:rFonts w:ascii="Titillium Web" w:hAnsi="Titillium Web"/>
                <w:sz w:val="20"/>
                <w:szCs w:val="20"/>
              </w:rPr>
              <w:t xml:space="preserve"> assess financial risk a detailed assessment of the issuer’s financial statements will be undertaken</w:t>
            </w:r>
          </w:p>
        </w:tc>
      </w:tr>
      <w:tr w:rsidR="00546EC1" w:rsidRPr="00BA2938" w14:paraId="3B706821" w14:textId="77777777">
        <w:tc>
          <w:tcPr>
            <w:tcW w:w="4390" w:type="dxa"/>
          </w:tcPr>
          <w:p w14:paraId="000001FA"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 xml:space="preserve">Reinvestment Risk This risk refers to the interest rate levels at which cash flows received from the securities in the Schemes are reinvested </w:t>
            </w:r>
            <w:proofErr w:type="gramStart"/>
            <w:r w:rsidRPr="00BA2938">
              <w:rPr>
                <w:rFonts w:ascii="Titillium Web" w:hAnsi="Titillium Web"/>
                <w:sz w:val="20"/>
                <w:szCs w:val="20"/>
              </w:rPr>
              <w:t>The</w:t>
            </w:r>
            <w:proofErr w:type="gramEnd"/>
            <w:r w:rsidRPr="00BA2938">
              <w:rPr>
                <w:rFonts w:ascii="Titillium Web" w:hAnsi="Titillium Web"/>
                <w:sz w:val="20"/>
                <w:szCs w:val="20"/>
              </w:rPr>
              <w:t xml:space="preserve"> risk is that the rate at which interim cash flows can be reinvested may be lower than that originally assumed.</w:t>
            </w:r>
          </w:p>
        </w:tc>
        <w:tc>
          <w:tcPr>
            <w:tcW w:w="5103" w:type="dxa"/>
          </w:tcPr>
          <w:p w14:paraId="000001FB"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Reinvestment risks will be limited to the extent of coupons received on debt instruments, which will be a very small portion of the portfolio value</w:t>
            </w:r>
          </w:p>
        </w:tc>
      </w:tr>
    </w:tbl>
    <w:p w14:paraId="450F3DA7" w14:textId="77777777" w:rsidR="00F136EE" w:rsidRDefault="00F136EE" w:rsidP="00BA2938">
      <w:pPr>
        <w:pStyle w:val="Heading1"/>
        <w:spacing w:before="0" w:line="240" w:lineRule="auto"/>
        <w:jc w:val="both"/>
        <w:rPr>
          <w:rFonts w:ascii="Titillium Web" w:eastAsia="Calibri" w:hAnsi="Titillium Web" w:cs="Calibri"/>
          <w:b/>
          <w:color w:val="000000"/>
          <w:sz w:val="28"/>
          <w:szCs w:val="28"/>
        </w:rPr>
      </w:pPr>
      <w:bookmarkStart w:id="10" w:name="_heading=h.eju4oiyiklpy" w:colFirst="0" w:colLast="0"/>
      <w:bookmarkEnd w:id="10"/>
    </w:p>
    <w:p w14:paraId="14226664" w14:textId="77777777" w:rsidR="00F136EE" w:rsidRDefault="00F136EE">
      <w:pPr>
        <w:rPr>
          <w:rFonts w:ascii="Titillium Web" w:hAnsi="Titillium Web"/>
          <w:b/>
          <w:color w:val="000000"/>
          <w:sz w:val="28"/>
          <w:szCs w:val="28"/>
        </w:rPr>
      </w:pPr>
      <w:r>
        <w:rPr>
          <w:rFonts w:ascii="Titillium Web" w:hAnsi="Titillium Web"/>
          <w:b/>
          <w:color w:val="000000"/>
          <w:sz w:val="28"/>
          <w:szCs w:val="28"/>
        </w:rPr>
        <w:br w:type="page"/>
      </w:r>
    </w:p>
    <w:p w14:paraId="000001FD" w14:textId="74BD102C" w:rsidR="00546EC1" w:rsidRDefault="00000000" w:rsidP="00FA14F4">
      <w:pPr>
        <w:pStyle w:val="Heading1"/>
        <w:spacing w:before="0" w:line="240" w:lineRule="auto"/>
        <w:jc w:val="center"/>
        <w:rPr>
          <w:rFonts w:ascii="Titillium Web" w:eastAsia="Calibri" w:hAnsi="Titillium Web" w:cs="Calibri"/>
          <w:b/>
          <w:color w:val="000000"/>
          <w:sz w:val="28"/>
          <w:szCs w:val="28"/>
        </w:rPr>
      </w:pPr>
      <w:r w:rsidRPr="00BA2938">
        <w:rPr>
          <w:rFonts w:ascii="Titillium Web" w:eastAsia="Calibri" w:hAnsi="Titillium Web" w:cs="Calibri"/>
          <w:b/>
          <w:color w:val="000000"/>
          <w:sz w:val="28"/>
          <w:szCs w:val="28"/>
        </w:rPr>
        <w:lastRenderedPageBreak/>
        <w:t>Navi Nifty India Manufacturing Index Fund</w:t>
      </w:r>
    </w:p>
    <w:p w14:paraId="5128DE61" w14:textId="77777777" w:rsidR="00BA2938" w:rsidRPr="00BA2938" w:rsidRDefault="00BA2938" w:rsidP="00BA2938"/>
    <w:p w14:paraId="000001FE"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Scheme Specific Risk Factors</w:t>
      </w:r>
    </w:p>
    <w:p w14:paraId="000001FF" w14:textId="77777777" w:rsidR="00546EC1" w:rsidRPr="00BA2938" w:rsidRDefault="00546EC1" w:rsidP="00BA2938">
      <w:pPr>
        <w:spacing w:after="0" w:line="240" w:lineRule="auto"/>
        <w:jc w:val="both"/>
        <w:rPr>
          <w:rFonts w:ascii="Titillium Web" w:hAnsi="Titillium Web"/>
          <w:b/>
          <w:sz w:val="20"/>
          <w:szCs w:val="20"/>
        </w:rPr>
      </w:pPr>
    </w:p>
    <w:p w14:paraId="00000200"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associated with Equity and Equity Related Instruments</w:t>
      </w:r>
    </w:p>
    <w:p w14:paraId="0000020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Investments in equity and equity related instruments involve a degree of risk, both company specific and market risks and thus investors should not invest in the Scheme unless they can afford to take the risk of losing their investment.</w:t>
      </w:r>
    </w:p>
    <w:p w14:paraId="00000202" w14:textId="77777777" w:rsidR="00546EC1" w:rsidRPr="00BA2938" w:rsidRDefault="00546EC1" w:rsidP="00BA2938">
      <w:pPr>
        <w:spacing w:after="0" w:line="240" w:lineRule="auto"/>
        <w:jc w:val="both"/>
        <w:rPr>
          <w:rFonts w:ascii="Titillium Web" w:hAnsi="Titillium Web"/>
          <w:sz w:val="20"/>
          <w:szCs w:val="20"/>
        </w:rPr>
      </w:pPr>
    </w:p>
    <w:p w14:paraId="0000020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will invest in equity and equity related securities diversified over various sectors.  Thus, any price fluctuation for these securities may adversely affect the NAV of the units issued under the Scheme. The same may also lead to out-performance or under-performance of the scheme against Nifty India Manufacturing which is the benchmark index for the scheme.</w:t>
      </w:r>
    </w:p>
    <w:p w14:paraId="00000204" w14:textId="77777777" w:rsidR="00546EC1" w:rsidRPr="00BA2938" w:rsidRDefault="00546EC1" w:rsidP="00BA2938">
      <w:pPr>
        <w:spacing w:after="0" w:line="240" w:lineRule="auto"/>
        <w:jc w:val="both"/>
        <w:rPr>
          <w:rFonts w:ascii="Titillium Web" w:hAnsi="Titillium Web"/>
          <w:sz w:val="20"/>
          <w:szCs w:val="20"/>
        </w:rPr>
      </w:pPr>
    </w:p>
    <w:p w14:paraId="0000020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Equity and Equity Related Instruments by nature are volatile and prone to price fluctuations </w:t>
      </w:r>
      <w:proofErr w:type="gramStart"/>
      <w:r w:rsidRPr="00BA2938">
        <w:rPr>
          <w:rFonts w:ascii="Titillium Web" w:hAnsi="Titillium Web"/>
          <w:sz w:val="20"/>
          <w:szCs w:val="20"/>
        </w:rPr>
        <w:t>on a daily basis</w:t>
      </w:r>
      <w:proofErr w:type="gramEnd"/>
      <w:r w:rsidRPr="00BA2938">
        <w:rPr>
          <w:rFonts w:ascii="Titillium Web" w:hAnsi="Titillium Web"/>
          <w:sz w:val="20"/>
          <w:szCs w:val="20"/>
        </w:rPr>
        <w:t xml:space="preserve"> due to macro and micro economic factors. The value of Equity and Equity Related Instruments may fluctuate due to factors affecting the securities markets such as volume and volatility in the capital markets, interest rates, currency exchange rates, changes in law/policies of the Government, taxation laws, political, economic or other developments, which may have an adverse impact on individual securities, a specific sector or all sectors. Consequently, the NAV of the Units issued under the Scheme may be adversely affected.</w:t>
      </w:r>
    </w:p>
    <w:p w14:paraId="00000206" w14:textId="77777777" w:rsidR="00546EC1" w:rsidRPr="00BA2938" w:rsidRDefault="00546EC1" w:rsidP="00BA2938">
      <w:pPr>
        <w:spacing w:after="0" w:line="240" w:lineRule="auto"/>
        <w:jc w:val="both"/>
        <w:rPr>
          <w:rFonts w:ascii="Titillium Web" w:hAnsi="Titillium Web"/>
          <w:sz w:val="20"/>
          <w:szCs w:val="20"/>
        </w:rPr>
      </w:pPr>
    </w:p>
    <w:p w14:paraId="0000020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Equity and Equity Related Instruments listed on the stock exchange carry lower liquidity risk; however, the Scheme’s ability to sell these investments is limited by the overall trading volume on the stock exchanges. In certain cases, settlement periods may be extended significantly by unforeseen circumstances. The inability of the Scheme to make intended securities purchases due to settlement problems could cause the Scheme to miss certain investment opportunities. Similarly, the inability to sell securities held in the Scheme's portfolio may result, at times, in potential losses to the Scheme, should there be a subsequent decline in the value of securities held in the Scheme's portfolio.</w:t>
      </w:r>
    </w:p>
    <w:p w14:paraId="00000208" w14:textId="77777777" w:rsidR="00546EC1" w:rsidRPr="00BA2938" w:rsidRDefault="00546EC1" w:rsidP="00BA2938">
      <w:pPr>
        <w:spacing w:after="0" w:line="240" w:lineRule="auto"/>
        <w:jc w:val="both"/>
        <w:rPr>
          <w:rFonts w:ascii="Titillium Web" w:hAnsi="Titillium Web"/>
          <w:sz w:val="20"/>
          <w:szCs w:val="20"/>
        </w:rPr>
      </w:pPr>
    </w:p>
    <w:p w14:paraId="0000020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Scheme may invest in securities which are not listed on the stock exchanges. These securities may be illiquid in nature and carry a higher amount of liquidity risk, in comparison to securities that are listed on the stock exchanges or offer other exit options to the investor. The liquidity and valuation of the Scheme's investments due to its holdings of unlisted securities may be affected if they </w:t>
      </w:r>
      <w:proofErr w:type="gramStart"/>
      <w:r w:rsidRPr="00BA2938">
        <w:rPr>
          <w:rFonts w:ascii="Titillium Web" w:hAnsi="Titillium Web"/>
          <w:sz w:val="20"/>
          <w:szCs w:val="20"/>
        </w:rPr>
        <w:t>have to</w:t>
      </w:r>
      <w:proofErr w:type="gramEnd"/>
      <w:r w:rsidRPr="00BA2938">
        <w:rPr>
          <w:rFonts w:ascii="Titillium Web" w:hAnsi="Titillium Web"/>
          <w:sz w:val="20"/>
          <w:szCs w:val="20"/>
        </w:rPr>
        <w:t xml:space="preserve"> be sold prior to the target date of disinvestment.</w:t>
      </w:r>
    </w:p>
    <w:p w14:paraId="0000020A" w14:textId="77777777" w:rsidR="00546EC1" w:rsidRPr="00BA2938" w:rsidRDefault="00546EC1" w:rsidP="00BA2938">
      <w:pPr>
        <w:spacing w:after="0" w:line="240" w:lineRule="auto"/>
        <w:jc w:val="both"/>
        <w:rPr>
          <w:rFonts w:ascii="Titillium Web" w:hAnsi="Titillium Web"/>
          <w:sz w:val="20"/>
          <w:szCs w:val="20"/>
        </w:rPr>
      </w:pPr>
    </w:p>
    <w:p w14:paraId="0000020B"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rPr>
        <w:br w:type="page"/>
      </w:r>
    </w:p>
    <w:p w14:paraId="0000020C"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lastRenderedPageBreak/>
        <w:t xml:space="preserve">Risks of Total Return </w:t>
      </w:r>
    </w:p>
    <w:p w14:paraId="0000020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Dividends are assumed to be reinvested into the Nifty India Manufacturing Index after the ex-dividend date of the constituents. However, in practice, the dividend is received with a lag. This can lead to some tracking error.</w:t>
      </w:r>
    </w:p>
    <w:p w14:paraId="0000020E" w14:textId="77777777" w:rsidR="00546EC1" w:rsidRPr="00BA2938" w:rsidRDefault="00546EC1" w:rsidP="00BA2938">
      <w:pPr>
        <w:spacing w:after="0" w:line="240" w:lineRule="auto"/>
        <w:jc w:val="both"/>
        <w:rPr>
          <w:rFonts w:ascii="Titillium Web" w:hAnsi="Titillium Web"/>
          <w:sz w:val="20"/>
          <w:szCs w:val="20"/>
        </w:rPr>
      </w:pPr>
    </w:p>
    <w:p w14:paraId="0000020F"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Index Fund Risk</w:t>
      </w:r>
    </w:p>
    <w:p w14:paraId="0000021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being an index scheme follows a passive investment technique and shall only invest in Securities comprising one selected index as per investment objective of the Scheme. The Fund Manager would invest in the Securities comprising the underlying index irrespective of the market conditions. If the Securities market declines, the value of the investment held by the Scheme shall decrease.</w:t>
      </w:r>
    </w:p>
    <w:p w14:paraId="00000211" w14:textId="77777777" w:rsidR="00546EC1" w:rsidRPr="00BA2938" w:rsidRDefault="00546EC1" w:rsidP="00BA2938">
      <w:pPr>
        <w:spacing w:after="0" w:line="240" w:lineRule="auto"/>
        <w:jc w:val="both"/>
        <w:rPr>
          <w:rFonts w:ascii="Titillium Web" w:hAnsi="Titillium Web"/>
          <w:b/>
          <w:sz w:val="20"/>
          <w:szCs w:val="20"/>
        </w:rPr>
      </w:pPr>
    </w:p>
    <w:p w14:paraId="00000212"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Passive Investments </w:t>
      </w:r>
    </w:p>
    <w:p w14:paraId="0000021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is not actively managed. Since the Scheme is linked to index, it may be affected by a general decline in the Indian markets relating to its underlying index. The Scheme as per its investment objective invests in Securities which are constituents of its underlying index regardless of their investment merit. The AMC does not attempt to individually select stocks or to take defensive positions in declining markets.</w:t>
      </w:r>
    </w:p>
    <w:p w14:paraId="00000214" w14:textId="77777777" w:rsidR="00546EC1" w:rsidRPr="00BA2938" w:rsidRDefault="00546EC1" w:rsidP="00BA2938">
      <w:pPr>
        <w:spacing w:after="0" w:line="240" w:lineRule="auto"/>
        <w:jc w:val="both"/>
        <w:rPr>
          <w:rFonts w:ascii="Titillium Web" w:hAnsi="Titillium Web"/>
          <w:b/>
          <w:sz w:val="20"/>
          <w:szCs w:val="20"/>
        </w:rPr>
      </w:pPr>
    </w:p>
    <w:p w14:paraId="00000215"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Trading through mutual fund trading platforms of BSE and/ or NSE </w:t>
      </w:r>
    </w:p>
    <w:p w14:paraId="0000021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In respect of transaction in Units of the Scheme through BSE and/ or NSE, allotment and redemption of Units on any Business Day will depend upon the order processing/settlement by BSE and/ or NSE and their respective clearing corporations on which the Mutual Fund has no control.</w:t>
      </w:r>
    </w:p>
    <w:p w14:paraId="00000217" w14:textId="77777777" w:rsidR="00546EC1" w:rsidRPr="00BA2938" w:rsidRDefault="00546EC1" w:rsidP="00BA2938">
      <w:pPr>
        <w:spacing w:after="0" w:line="240" w:lineRule="auto"/>
        <w:jc w:val="both"/>
        <w:rPr>
          <w:rFonts w:ascii="Titillium Web" w:hAnsi="Titillium Web"/>
          <w:sz w:val="20"/>
          <w:szCs w:val="20"/>
        </w:rPr>
      </w:pPr>
    </w:p>
    <w:p w14:paraId="00000218"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associated with Fixed Income securities</w:t>
      </w:r>
    </w:p>
    <w:p w14:paraId="0000021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following are the risks associated with investment in Fixed Income securities:</w:t>
      </w:r>
    </w:p>
    <w:p w14:paraId="0000021A" w14:textId="77777777" w:rsidR="00546EC1" w:rsidRPr="00BA2938" w:rsidRDefault="00546EC1" w:rsidP="00BA2938">
      <w:pPr>
        <w:spacing w:after="0" w:line="240" w:lineRule="auto"/>
        <w:jc w:val="both"/>
        <w:rPr>
          <w:rFonts w:ascii="Titillium Web" w:hAnsi="Titillium Web"/>
          <w:sz w:val="20"/>
          <w:szCs w:val="20"/>
        </w:rPr>
      </w:pPr>
    </w:p>
    <w:p w14:paraId="0000021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Interest-Rate Risk:</w:t>
      </w:r>
      <w:r w:rsidRPr="00BA2938">
        <w:rPr>
          <w:rFonts w:ascii="Titillium Web" w:hAnsi="Titillium Web"/>
          <w:sz w:val="20"/>
          <w:szCs w:val="20"/>
        </w:rPr>
        <w:t xml:space="preserve"> Fixed income securities such as government bonds, corporate bonds, Money Market Instruments and Derivatives run price-risk or interest-rate risk. Generally, when interest rates rise, prices of existing fixed income securities fall and when interest rates drop, such prices increase. The extent of fall or rise in the prices depends upon the coupon and maturity of the security. It also depends upon the level at which the security is being traded.</w:t>
      </w:r>
    </w:p>
    <w:p w14:paraId="0000021C" w14:textId="77777777" w:rsidR="00546EC1" w:rsidRPr="00BA2938" w:rsidRDefault="00546EC1" w:rsidP="00BA2938">
      <w:pPr>
        <w:spacing w:after="0" w:line="240" w:lineRule="auto"/>
        <w:jc w:val="both"/>
        <w:rPr>
          <w:rFonts w:ascii="Titillium Web" w:hAnsi="Titillium Web"/>
          <w:sz w:val="20"/>
          <w:szCs w:val="20"/>
        </w:rPr>
      </w:pPr>
    </w:p>
    <w:p w14:paraId="0000021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Re-investment Risk: </w:t>
      </w:r>
      <w:r w:rsidRPr="00BA2938">
        <w:rPr>
          <w:rFonts w:ascii="Titillium Web" w:hAnsi="Titillium Web"/>
          <w:sz w:val="20"/>
          <w:szCs w:val="20"/>
        </w:rPr>
        <w:t>Investments in fixed income securities carry re-investment risk as interest rates prevailing on the coupon payment or maturity dates may differ from the original coupon of the bond.</w:t>
      </w:r>
    </w:p>
    <w:p w14:paraId="0000021E" w14:textId="77777777" w:rsidR="00546EC1" w:rsidRPr="00BA2938" w:rsidRDefault="00546EC1" w:rsidP="00BA2938">
      <w:pPr>
        <w:spacing w:after="0" w:line="240" w:lineRule="auto"/>
        <w:jc w:val="both"/>
        <w:rPr>
          <w:rFonts w:ascii="Titillium Web" w:hAnsi="Titillium Web"/>
          <w:sz w:val="20"/>
          <w:szCs w:val="20"/>
        </w:rPr>
      </w:pPr>
    </w:p>
    <w:p w14:paraId="0000021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Basis Risk</w:t>
      </w:r>
      <w:r w:rsidRPr="00BA2938">
        <w:rPr>
          <w:rFonts w:ascii="Titillium Web" w:hAnsi="Titillium Web"/>
          <w:sz w:val="20"/>
          <w:szCs w:val="20"/>
        </w:rPr>
        <w:t>: The underlying benchmark of a floating rate security or a swap might become less active or may cease to exist and thus may not be able to capture the exact interest rate movements, leading to loss of value of the portfolio.</w:t>
      </w:r>
    </w:p>
    <w:p w14:paraId="00000220" w14:textId="77777777" w:rsidR="00546EC1" w:rsidRPr="00BA2938" w:rsidRDefault="00546EC1" w:rsidP="00BA2938">
      <w:pPr>
        <w:spacing w:after="0" w:line="240" w:lineRule="auto"/>
        <w:jc w:val="both"/>
        <w:rPr>
          <w:rFonts w:ascii="Titillium Web" w:hAnsi="Titillium Web"/>
          <w:sz w:val="20"/>
          <w:szCs w:val="20"/>
        </w:rPr>
      </w:pPr>
    </w:p>
    <w:p w14:paraId="0000022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Spread Risk: </w:t>
      </w:r>
      <w:r w:rsidRPr="00BA2938">
        <w:rPr>
          <w:rFonts w:ascii="Titillium Web" w:hAnsi="Titillium Web"/>
          <w:sz w:val="20"/>
          <w:szCs w:val="20"/>
        </w:rPr>
        <w:t>In a floating rate security, the coupon is expressed in terms of a spread or mark up over the benchmark rate. In the life of the security this spread may move adversely leading to loss in value of the portfolio. The yield of the underlying benchmark might not change, but the spread of the security over the underlying benchmark might increase leading to loss in value of the security.</w:t>
      </w:r>
    </w:p>
    <w:p w14:paraId="00000222" w14:textId="77777777" w:rsidR="00546EC1" w:rsidRPr="00BA2938" w:rsidRDefault="00546EC1" w:rsidP="00BA2938">
      <w:pPr>
        <w:spacing w:after="0" w:line="240" w:lineRule="auto"/>
        <w:jc w:val="both"/>
        <w:rPr>
          <w:rFonts w:ascii="Titillium Web" w:hAnsi="Titillium Web"/>
          <w:sz w:val="20"/>
          <w:szCs w:val="20"/>
        </w:rPr>
      </w:pPr>
    </w:p>
    <w:p w14:paraId="0000022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w:t>
      </w:r>
      <w:r w:rsidRPr="00BA2938">
        <w:rPr>
          <w:rFonts w:ascii="Titillium Web" w:hAnsi="Titillium Web"/>
          <w:sz w:val="20"/>
          <w:szCs w:val="20"/>
        </w:rPr>
        <w:t xml:space="preserve">The liquidity of a bond may change, depending on market conditions leading to changes in the liquidity premium attached to the price of the bond. At the time of selling the security, the security can become illiquid, leading to loss in value of the portfolio. </w:t>
      </w:r>
    </w:p>
    <w:p w14:paraId="00000224" w14:textId="77777777" w:rsidR="00546EC1" w:rsidRPr="00BA2938" w:rsidRDefault="00546EC1" w:rsidP="00BA2938">
      <w:pPr>
        <w:spacing w:after="0" w:line="240" w:lineRule="auto"/>
        <w:jc w:val="both"/>
        <w:rPr>
          <w:rFonts w:ascii="Titillium Web" w:hAnsi="Titillium Web"/>
          <w:sz w:val="20"/>
          <w:szCs w:val="20"/>
        </w:rPr>
      </w:pPr>
    </w:p>
    <w:p w14:paraId="0000022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Credit Risk: </w:t>
      </w:r>
      <w:r w:rsidRPr="00BA2938">
        <w:rPr>
          <w:rFonts w:ascii="Titillium Web" w:hAnsi="Titillium Web"/>
          <w:sz w:val="20"/>
          <w:szCs w:val="20"/>
        </w:rPr>
        <w:t xml:space="preserve">This is the risk associated with the issuer of a debenture/bond or a Money Market Instrument defaulting on coupon payments or in paying back the principal amount on maturity. Even when there is no default, the price of a security may change with expected changes in the credit rating of the issuer. It is to be noted here that a Government Security is a sovereign security and is the safest. Corporate bonds carry a higher amount of credit risk than Government Securities. Within corporate bonds also there are different levels of </w:t>
      </w:r>
      <w:proofErr w:type="gramStart"/>
      <w:r w:rsidRPr="00BA2938">
        <w:rPr>
          <w:rFonts w:ascii="Titillium Web" w:hAnsi="Titillium Web"/>
          <w:sz w:val="20"/>
          <w:szCs w:val="20"/>
        </w:rPr>
        <w:t>safety</w:t>
      </w:r>
      <w:proofErr w:type="gramEnd"/>
      <w:r w:rsidRPr="00BA2938">
        <w:rPr>
          <w:rFonts w:ascii="Titillium Web" w:hAnsi="Titillium Web"/>
          <w:sz w:val="20"/>
          <w:szCs w:val="20"/>
        </w:rPr>
        <w:t xml:space="preserve"> and a bond rated higher by a particular rating agency is safer than a bond rated lower by the same rating agency.</w:t>
      </w:r>
    </w:p>
    <w:p w14:paraId="00000226" w14:textId="77777777" w:rsidR="00546EC1" w:rsidRPr="00BA2938" w:rsidRDefault="00546EC1" w:rsidP="00BA2938">
      <w:pPr>
        <w:spacing w:after="0" w:line="240" w:lineRule="auto"/>
        <w:jc w:val="both"/>
        <w:rPr>
          <w:rFonts w:ascii="Titillium Web" w:hAnsi="Titillium Web"/>
          <w:b/>
          <w:sz w:val="20"/>
          <w:szCs w:val="20"/>
        </w:rPr>
      </w:pPr>
    </w:p>
    <w:p w14:paraId="0000022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on account of unlisted securities: </w:t>
      </w:r>
      <w:r w:rsidRPr="00BA2938">
        <w:rPr>
          <w:rFonts w:ascii="Titillium Web" w:hAnsi="Titillium Web"/>
          <w:sz w:val="20"/>
          <w:szCs w:val="20"/>
        </w:rPr>
        <w:t xml:space="preserve">The liquidity and valuation of the Scheme investments due to their holdings of unlisted securities may be affected if they </w:t>
      </w:r>
      <w:proofErr w:type="gramStart"/>
      <w:r w:rsidRPr="00BA2938">
        <w:rPr>
          <w:rFonts w:ascii="Titillium Web" w:hAnsi="Titillium Web"/>
          <w:sz w:val="20"/>
          <w:szCs w:val="20"/>
        </w:rPr>
        <w:t>have to</w:t>
      </w:r>
      <w:proofErr w:type="gramEnd"/>
      <w:r w:rsidRPr="00BA2938">
        <w:rPr>
          <w:rFonts w:ascii="Titillium Web" w:hAnsi="Titillium Web"/>
          <w:sz w:val="20"/>
          <w:szCs w:val="20"/>
        </w:rPr>
        <w:t xml:space="preserve"> be sold prior to their target date of divestment. The unlisted security can go down in value before the divestment date and selling of these securities before the divestment date can lead to losses in the portfolio.</w:t>
      </w:r>
    </w:p>
    <w:p w14:paraId="00000228" w14:textId="77777777" w:rsidR="00546EC1" w:rsidRPr="00BA2938" w:rsidRDefault="00546EC1" w:rsidP="00BA2938">
      <w:pPr>
        <w:spacing w:after="0" w:line="240" w:lineRule="auto"/>
        <w:jc w:val="both"/>
        <w:rPr>
          <w:rFonts w:ascii="Titillium Web" w:hAnsi="Titillium Web"/>
          <w:sz w:val="20"/>
          <w:szCs w:val="20"/>
        </w:rPr>
      </w:pPr>
    </w:p>
    <w:p w14:paraId="0000022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Settlement Risk: </w:t>
      </w:r>
      <w:r w:rsidRPr="00BA2938">
        <w:rPr>
          <w:rFonts w:ascii="Titillium Web" w:hAnsi="Titillium Web"/>
          <w:sz w:val="20"/>
          <w:szCs w:val="20"/>
        </w:rPr>
        <w:t>Fixed income securities run the risk of settlement which can adversely affect the ability of the fund house to swiftly execute trading strategies which can lead to adverse movements in NAV.</w:t>
      </w:r>
    </w:p>
    <w:p w14:paraId="0000022A" w14:textId="77777777" w:rsidR="00546EC1" w:rsidRPr="00BA2938" w:rsidRDefault="00546EC1" w:rsidP="00BA2938">
      <w:pPr>
        <w:spacing w:after="0" w:line="240" w:lineRule="auto"/>
        <w:jc w:val="both"/>
        <w:rPr>
          <w:rFonts w:ascii="Titillium Web" w:hAnsi="Titillium Web"/>
          <w:sz w:val="20"/>
          <w:szCs w:val="20"/>
        </w:rPr>
      </w:pPr>
    </w:p>
    <w:p w14:paraId="0000022B"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Risks associated with investing in Tri-Party Repos Segments </w:t>
      </w:r>
    </w:p>
    <w:p w14:paraId="0000022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mutual fund is a member of securities and Tri-Party Repos segments of the Clearing Corporation of India (CCIL). All transactions of the mutual fund in government securities and in Tri-Party Repos segments are settled centrally through the infrastructure and settlement systems provided by CCIL; thus, reducing the settlement and counterparty risks considerably for transactions in the said segments. The members are required to contribute an amount as communicated by CCIL from time to time to the default fund maintained by CCIL as a part of the default waterfall (a loss mitigating measure of CCIL in case of default by any member in settling transactions routed through CCIL). The mutual fund is exposed to the extent of its contribution to the default fund of CCIL at any given point in time. </w:t>
      </w:r>
      <w:proofErr w:type="gramStart"/>
      <w:r w:rsidRPr="00BA2938">
        <w:rPr>
          <w:rFonts w:ascii="Titillium Web" w:hAnsi="Titillium Web"/>
          <w:sz w:val="20"/>
          <w:szCs w:val="20"/>
        </w:rPr>
        <w:t>In the event that</w:t>
      </w:r>
      <w:proofErr w:type="gramEnd"/>
      <w:r w:rsidRPr="00BA2938">
        <w:rPr>
          <w:rFonts w:ascii="Titillium Web" w:hAnsi="Titillium Web"/>
          <w:sz w:val="20"/>
          <w:szCs w:val="20"/>
        </w:rPr>
        <w:t xml:space="preserve"> the default waterfall is triggered, and the contribution of the mutual fund is called upon to absorb settlement/default losses of another member by CCIL, the scheme may lose an amount equivalent to its contribution to the default fund allocated to the scheme on a pro-rata basis.</w:t>
      </w:r>
    </w:p>
    <w:p w14:paraId="0000022D" w14:textId="77777777" w:rsidR="00546EC1" w:rsidRPr="00BA2938" w:rsidRDefault="00546EC1" w:rsidP="00BA2938">
      <w:pPr>
        <w:spacing w:after="0" w:line="240" w:lineRule="auto"/>
        <w:jc w:val="both"/>
        <w:rPr>
          <w:rFonts w:ascii="Titillium Web" w:hAnsi="Titillium Web"/>
          <w:sz w:val="20"/>
          <w:szCs w:val="20"/>
        </w:rPr>
      </w:pPr>
    </w:p>
    <w:p w14:paraId="0000022E"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Tracking Error</w:t>
      </w:r>
      <w:r w:rsidRPr="00BA2938">
        <w:rPr>
          <w:rFonts w:ascii="Titillium Web" w:hAnsi="Titillium Web"/>
          <w:sz w:val="20"/>
          <w:szCs w:val="20"/>
        </w:rPr>
        <w:t>/</w:t>
      </w:r>
      <w:r w:rsidRPr="00BA2938">
        <w:rPr>
          <w:rFonts w:ascii="Titillium Web" w:hAnsi="Titillium Web"/>
          <w:b/>
          <w:sz w:val="20"/>
          <w:szCs w:val="20"/>
        </w:rPr>
        <w:t>Tracking difference</w:t>
      </w:r>
      <w:r w:rsidRPr="00BA2938">
        <w:rPr>
          <w:rFonts w:ascii="Titillium Web" w:hAnsi="Titillium Web"/>
          <w:sz w:val="20"/>
          <w:szCs w:val="20"/>
        </w:rPr>
        <w:t xml:space="preserve"> </w:t>
      </w:r>
      <w:r w:rsidRPr="00BA2938">
        <w:rPr>
          <w:rFonts w:ascii="Titillium Web" w:hAnsi="Titillium Web"/>
          <w:b/>
          <w:sz w:val="20"/>
          <w:szCs w:val="20"/>
        </w:rPr>
        <w:t xml:space="preserve">Risk </w:t>
      </w:r>
    </w:p>
    <w:p w14:paraId="0000022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Fund Manager would not be able to invest the entire corpus exactly in the same proportion as in the underlying index due to certain factors such as the fees and expenses of the Scheme, corporate actions, cash balance and changes to the underlying index and regulatory restrictions, lack of liquidity which may result in Tracking Error. Hence it may affect AMC’s ability to achieve close correlation with the underlying index of the Scheme. The Scheme’s returns may therefore deviate from its underlying index. “Tracking Error” is defined as the annualized standard deviation of the difference in daily returns between the underlying index and the NAV of the Scheme based on past one year rolling data. The Fund Manager would monitor the Tracking Error of the Scheme </w:t>
      </w:r>
      <w:r w:rsidRPr="00BA2938">
        <w:rPr>
          <w:rFonts w:ascii="Titillium Web" w:hAnsi="Titillium Web"/>
          <w:sz w:val="20"/>
          <w:szCs w:val="20"/>
        </w:rPr>
        <w:lastRenderedPageBreak/>
        <w:t>on an ongoing basis and would seek to minimize the Tracking Error. There can be no assurance or guarantee that the Scheme will achieve any level of Tracking Error relative to performance of the underlying Index.</w:t>
      </w:r>
    </w:p>
    <w:p w14:paraId="00000230" w14:textId="77777777" w:rsidR="00546EC1" w:rsidRPr="00BA2938" w:rsidRDefault="00546EC1" w:rsidP="00BA2938">
      <w:pPr>
        <w:spacing w:after="0" w:line="240" w:lineRule="auto"/>
        <w:jc w:val="both"/>
        <w:rPr>
          <w:rFonts w:ascii="Titillium Web" w:hAnsi="Titillium Web"/>
          <w:sz w:val="20"/>
          <w:szCs w:val="20"/>
        </w:rPr>
      </w:pPr>
    </w:p>
    <w:p w14:paraId="0000023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Risk Factors relating to Portfolio Rebalancing </w:t>
      </w:r>
    </w:p>
    <w:p w14:paraId="00000232" w14:textId="77777777" w:rsidR="00546EC1" w:rsidRPr="00BA2938" w:rsidRDefault="00000000" w:rsidP="00BA2938">
      <w:pPr>
        <w:spacing w:after="0" w:line="240" w:lineRule="auto"/>
        <w:jc w:val="both"/>
        <w:rPr>
          <w:rFonts w:ascii="Titillium Web" w:hAnsi="Titillium Web"/>
          <w:sz w:val="20"/>
          <w:szCs w:val="20"/>
        </w:rPr>
      </w:pPr>
      <w:proofErr w:type="gramStart"/>
      <w:r w:rsidRPr="00BA2938">
        <w:rPr>
          <w:rFonts w:ascii="Titillium Web" w:hAnsi="Titillium Web"/>
          <w:sz w:val="20"/>
          <w:szCs w:val="20"/>
        </w:rPr>
        <w:t>In the event that</w:t>
      </w:r>
      <w:proofErr w:type="gramEnd"/>
      <w:r w:rsidRPr="00BA2938">
        <w:rPr>
          <w:rFonts w:ascii="Titillium Web" w:hAnsi="Titillium Web"/>
          <w:sz w:val="20"/>
          <w:szCs w:val="20"/>
        </w:rPr>
        <w:t xml:space="preserve"> the asset allocation of the Scheme deviates from the ranges as provided in the asset allocation table in this SID, then the Fund Manager will rebalance the portfolio of the Scheme to the position indicated in the asset allocation table. </w:t>
      </w:r>
    </w:p>
    <w:p w14:paraId="00000233" w14:textId="77777777" w:rsidR="00546EC1" w:rsidRPr="00BA2938" w:rsidRDefault="00546EC1" w:rsidP="00BA2938">
      <w:pPr>
        <w:spacing w:after="0" w:line="240" w:lineRule="auto"/>
        <w:jc w:val="both"/>
        <w:rPr>
          <w:rFonts w:ascii="Titillium Web" w:hAnsi="Titillium Web"/>
          <w:b/>
          <w:sz w:val="20"/>
          <w:szCs w:val="20"/>
          <w:highlight w:val="magenta"/>
        </w:rPr>
      </w:pPr>
    </w:p>
    <w:p w14:paraId="00000234"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associated with Derivatives Transactions</w:t>
      </w:r>
    </w:p>
    <w:p w14:paraId="00000235" w14:textId="77777777" w:rsidR="00546EC1" w:rsidRPr="00BA2938" w:rsidRDefault="00546EC1" w:rsidP="00BA2938">
      <w:pPr>
        <w:tabs>
          <w:tab w:val="left" w:pos="900"/>
        </w:tabs>
        <w:spacing w:after="0" w:line="240" w:lineRule="auto"/>
        <w:jc w:val="both"/>
        <w:rPr>
          <w:rFonts w:ascii="Titillium Web" w:hAnsi="Titillium Web"/>
          <w:b/>
          <w:sz w:val="20"/>
          <w:szCs w:val="20"/>
        </w:rPr>
      </w:pPr>
    </w:p>
    <w:p w14:paraId="00000236" w14:textId="77777777" w:rsidR="00546EC1" w:rsidRPr="00BA2938" w:rsidRDefault="00000000" w:rsidP="00BA2938">
      <w:pPr>
        <w:tabs>
          <w:tab w:val="left" w:pos="900"/>
        </w:tabs>
        <w:spacing w:after="0" w:line="240" w:lineRule="auto"/>
        <w:jc w:val="both"/>
        <w:rPr>
          <w:rFonts w:ascii="Titillium Web" w:hAnsi="Titillium Web"/>
          <w:b/>
          <w:sz w:val="20"/>
          <w:szCs w:val="20"/>
        </w:rPr>
      </w:pPr>
      <w:r w:rsidRPr="00BA2938">
        <w:rPr>
          <w:rFonts w:ascii="Titillium Web" w:hAnsi="Titillium Web"/>
          <w:b/>
          <w:sz w:val="20"/>
          <w:szCs w:val="20"/>
        </w:rPr>
        <w:t xml:space="preserve">Systematic Risk: </w:t>
      </w:r>
      <w:r w:rsidRPr="00BA2938">
        <w:rPr>
          <w:rFonts w:ascii="Titillium Web" w:hAnsi="Titillium Web"/>
          <w:sz w:val="20"/>
          <w:szCs w:val="20"/>
        </w:rPr>
        <w:t>Systematic Risk is the risk associated with the entire market. Unlike unsystematic risk, it is not linked to a specific security or sector. Systematic risk is a market risk which can be due to macro-economic factors, news events, etc.</w:t>
      </w:r>
    </w:p>
    <w:p w14:paraId="00000237" w14:textId="77777777" w:rsidR="00546EC1" w:rsidRPr="00BA2938" w:rsidRDefault="00546EC1" w:rsidP="00BA2938">
      <w:pPr>
        <w:tabs>
          <w:tab w:val="left" w:pos="900"/>
        </w:tabs>
        <w:spacing w:after="0" w:line="240" w:lineRule="auto"/>
        <w:jc w:val="both"/>
        <w:rPr>
          <w:rFonts w:ascii="Titillium Web" w:hAnsi="Titillium Web"/>
          <w:b/>
          <w:sz w:val="20"/>
          <w:szCs w:val="20"/>
        </w:rPr>
      </w:pPr>
    </w:p>
    <w:p w14:paraId="00000238" w14:textId="77777777" w:rsidR="00546EC1" w:rsidRPr="00BA2938" w:rsidRDefault="00000000" w:rsidP="00BA2938">
      <w:pPr>
        <w:tabs>
          <w:tab w:val="left" w:pos="900"/>
        </w:tabs>
        <w:spacing w:after="0" w:line="240" w:lineRule="auto"/>
        <w:jc w:val="both"/>
        <w:rPr>
          <w:rFonts w:ascii="Titillium Web" w:hAnsi="Titillium Web"/>
          <w:sz w:val="20"/>
          <w:szCs w:val="20"/>
        </w:rPr>
      </w:pPr>
      <w:r w:rsidRPr="00BA2938">
        <w:rPr>
          <w:rFonts w:ascii="Titillium Web" w:hAnsi="Titillium Web"/>
          <w:b/>
          <w:sz w:val="20"/>
          <w:szCs w:val="20"/>
        </w:rPr>
        <w:t xml:space="preserve">Mark to Market Risk: </w:t>
      </w:r>
      <w:r w:rsidRPr="00BA2938">
        <w:rPr>
          <w:rFonts w:ascii="Titillium Web" w:hAnsi="Titillium Web"/>
          <w:sz w:val="20"/>
          <w:szCs w:val="20"/>
        </w:rPr>
        <w:t>This risk is on account of day-to-day fluctuations in the underlying Security and its derivative instrument, which can adversely impact the portfolio.</w:t>
      </w:r>
    </w:p>
    <w:p w14:paraId="00000239" w14:textId="77777777" w:rsidR="00546EC1" w:rsidRPr="00BA2938" w:rsidRDefault="00000000" w:rsidP="00BA2938">
      <w:pPr>
        <w:tabs>
          <w:tab w:val="left" w:pos="900"/>
        </w:tabs>
        <w:spacing w:after="0" w:line="240" w:lineRule="auto"/>
        <w:jc w:val="both"/>
        <w:rPr>
          <w:rFonts w:ascii="Titillium Web" w:hAnsi="Titillium Web"/>
          <w:b/>
          <w:sz w:val="20"/>
          <w:szCs w:val="20"/>
        </w:rPr>
      </w:pPr>
      <w:r w:rsidRPr="00BA2938">
        <w:rPr>
          <w:rFonts w:ascii="Titillium Web" w:hAnsi="Titillium Web"/>
          <w:b/>
          <w:sz w:val="20"/>
          <w:szCs w:val="20"/>
        </w:rPr>
        <w:tab/>
      </w:r>
    </w:p>
    <w:p w14:paraId="0000023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Credit Risk: </w:t>
      </w:r>
      <w:r w:rsidRPr="00BA2938">
        <w:rPr>
          <w:rFonts w:ascii="Titillium Web" w:hAnsi="Titillium Web"/>
          <w:sz w:val="20"/>
          <w:szCs w:val="20"/>
        </w:rPr>
        <w:t>The credit risk is the risk that the counter party will default in its obligations and is generally small as in a Derivative transaction there is generally no exchange of the principal amount.</w:t>
      </w:r>
    </w:p>
    <w:p w14:paraId="0000023B" w14:textId="77777777" w:rsidR="00546EC1" w:rsidRPr="00BA2938" w:rsidRDefault="00546EC1" w:rsidP="00BA2938">
      <w:pPr>
        <w:spacing w:after="0" w:line="240" w:lineRule="auto"/>
        <w:jc w:val="both"/>
        <w:rPr>
          <w:rFonts w:ascii="Titillium Web" w:hAnsi="Titillium Web"/>
          <w:sz w:val="20"/>
          <w:szCs w:val="20"/>
        </w:rPr>
      </w:pPr>
    </w:p>
    <w:p w14:paraId="0000023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Interest rate risk</w:t>
      </w:r>
      <w:r w:rsidRPr="00BA2938">
        <w:rPr>
          <w:rFonts w:ascii="Titillium Web" w:hAnsi="Titillium Web"/>
          <w:sz w:val="20"/>
          <w:szCs w:val="20"/>
        </w:rPr>
        <w:t>: Derivatives carry the risk of adverse changes in the price due to change in interest rates.</w:t>
      </w:r>
    </w:p>
    <w:p w14:paraId="0000023D" w14:textId="77777777" w:rsidR="00546EC1" w:rsidRPr="00BA2938" w:rsidRDefault="00546EC1" w:rsidP="00BA2938">
      <w:pPr>
        <w:spacing w:after="0" w:line="240" w:lineRule="auto"/>
        <w:jc w:val="both"/>
        <w:rPr>
          <w:rFonts w:ascii="Titillium Web" w:hAnsi="Titillium Web"/>
          <w:sz w:val="20"/>
          <w:szCs w:val="20"/>
        </w:rPr>
      </w:pPr>
    </w:p>
    <w:p w14:paraId="0000023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Basis Risk: </w:t>
      </w:r>
      <w:r w:rsidRPr="00BA2938">
        <w:rPr>
          <w:rFonts w:ascii="Titillium Web" w:hAnsi="Titillium Web"/>
          <w:sz w:val="20"/>
          <w:szCs w:val="20"/>
        </w:rPr>
        <w:t>When a security is hedged using a Derivative, the change in price of the security and the change in price of the Derivative may not be fully correlated leading to basis risk in the portfolio.</w:t>
      </w:r>
    </w:p>
    <w:p w14:paraId="0000023F" w14:textId="77777777" w:rsidR="00546EC1" w:rsidRPr="00BA2938" w:rsidRDefault="00546EC1" w:rsidP="00BA2938">
      <w:pPr>
        <w:spacing w:after="0" w:line="240" w:lineRule="auto"/>
        <w:jc w:val="both"/>
        <w:rPr>
          <w:rFonts w:ascii="Titillium Web" w:hAnsi="Titillium Web"/>
          <w:sz w:val="20"/>
          <w:szCs w:val="20"/>
        </w:rPr>
      </w:pPr>
    </w:p>
    <w:p w14:paraId="0000024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w:t>
      </w:r>
      <w:r w:rsidRPr="00BA2938">
        <w:rPr>
          <w:rFonts w:ascii="Titillium Web" w:hAnsi="Titillium Web"/>
          <w:sz w:val="20"/>
          <w:szCs w:val="20"/>
        </w:rPr>
        <w:t>During the life of the Derivative, the benchmark might become Illiquid and might not be fully capturing the interest rate changes in the market, or the selling, unwinding prices might not reflect the underlying assets, rates and indices, leading to loss of value of the portfolio.</w:t>
      </w:r>
    </w:p>
    <w:p w14:paraId="00000241" w14:textId="77777777" w:rsidR="00546EC1" w:rsidRPr="00BA2938" w:rsidRDefault="00546EC1" w:rsidP="00BA2938">
      <w:pPr>
        <w:spacing w:after="0" w:line="240" w:lineRule="auto"/>
        <w:jc w:val="both"/>
        <w:rPr>
          <w:rFonts w:ascii="Titillium Web" w:hAnsi="Titillium Web"/>
          <w:sz w:val="20"/>
          <w:szCs w:val="20"/>
        </w:rPr>
      </w:pPr>
    </w:p>
    <w:p w14:paraId="00000242"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Model Risk: </w:t>
      </w:r>
      <w:r w:rsidRPr="00BA2938">
        <w:rPr>
          <w:rFonts w:ascii="Titillium Web" w:hAnsi="Titillium Web"/>
          <w:sz w:val="20"/>
          <w:szCs w:val="20"/>
        </w:rPr>
        <w:t>The risk of mis–pricing or improper valuation of Derivatives.</w:t>
      </w:r>
    </w:p>
    <w:p w14:paraId="00000243" w14:textId="77777777" w:rsidR="00546EC1" w:rsidRPr="00BA2938" w:rsidRDefault="00546EC1" w:rsidP="00BA2938">
      <w:pPr>
        <w:spacing w:after="0" w:line="240" w:lineRule="auto"/>
        <w:jc w:val="both"/>
        <w:rPr>
          <w:rFonts w:ascii="Titillium Web" w:hAnsi="Titillium Web"/>
          <w:sz w:val="20"/>
          <w:szCs w:val="20"/>
        </w:rPr>
      </w:pPr>
    </w:p>
    <w:p w14:paraId="0000024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Trade Execution: </w:t>
      </w:r>
      <w:r w:rsidRPr="00BA2938">
        <w:rPr>
          <w:rFonts w:ascii="Titillium Web" w:hAnsi="Titillium Web"/>
          <w:sz w:val="20"/>
          <w:szCs w:val="20"/>
        </w:rPr>
        <w:t xml:space="preserve">Risk where the final execution price is different from the screen price, leading to dilution in the spreads. </w:t>
      </w:r>
    </w:p>
    <w:p w14:paraId="00000245" w14:textId="77777777" w:rsidR="00546EC1" w:rsidRPr="00BA2938" w:rsidRDefault="00546EC1" w:rsidP="00BA2938">
      <w:pPr>
        <w:spacing w:after="0" w:line="240" w:lineRule="auto"/>
        <w:jc w:val="both"/>
        <w:rPr>
          <w:rFonts w:ascii="Titillium Web" w:hAnsi="Titillium Web"/>
          <w:sz w:val="20"/>
          <w:szCs w:val="20"/>
        </w:rPr>
      </w:pPr>
    </w:p>
    <w:p w14:paraId="0000024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Systemic Risk: </w:t>
      </w:r>
      <w:r w:rsidRPr="00BA2938">
        <w:rPr>
          <w:rFonts w:ascii="Titillium Web" w:hAnsi="Titillium Web"/>
          <w:sz w:val="20"/>
          <w:szCs w:val="20"/>
        </w:rPr>
        <w:t>For Derivatives, especially OTC ones the failure of one Counter Party can put the whole system at risk and the whole system can come to a halt.</w:t>
      </w:r>
    </w:p>
    <w:p w14:paraId="00000247" w14:textId="77777777" w:rsidR="00546EC1" w:rsidRPr="00BA2938" w:rsidRDefault="00546EC1" w:rsidP="00BA2938">
      <w:pPr>
        <w:spacing w:after="0" w:line="240" w:lineRule="auto"/>
        <w:jc w:val="both"/>
        <w:rPr>
          <w:rFonts w:ascii="Titillium Web" w:hAnsi="Titillium Web"/>
          <w:sz w:val="20"/>
          <w:szCs w:val="20"/>
        </w:rPr>
      </w:pPr>
    </w:p>
    <w:p w14:paraId="0000024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The scheme may invest in various derivative products in accordance with and to the extent permitted under the regulations from time to time.</w:t>
      </w:r>
    </w:p>
    <w:p w14:paraId="00000249" w14:textId="77777777" w:rsidR="00546EC1" w:rsidRPr="00BA2938" w:rsidRDefault="00546EC1" w:rsidP="00BA2938">
      <w:pPr>
        <w:spacing w:after="0" w:line="240" w:lineRule="auto"/>
        <w:jc w:val="both"/>
        <w:rPr>
          <w:rFonts w:ascii="Titillium Web" w:hAnsi="Titillium Web"/>
          <w:sz w:val="20"/>
          <w:szCs w:val="20"/>
        </w:rPr>
      </w:pPr>
    </w:p>
    <w:p w14:paraId="0000024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lastRenderedPageBreak/>
        <w:t>Derivatives are financial contracts of pre-determined fixed duration, like stock Futures /options and index futures and options, whose values are derived from the value of an underlying primary financial instrument such as: Equities, Interest rates, Exchange rates.</w:t>
      </w:r>
    </w:p>
    <w:p w14:paraId="0000024B" w14:textId="77777777" w:rsidR="00546EC1" w:rsidRPr="00BA2938" w:rsidRDefault="00546EC1" w:rsidP="00BA2938">
      <w:pPr>
        <w:spacing w:after="0" w:line="240" w:lineRule="auto"/>
        <w:jc w:val="both"/>
        <w:rPr>
          <w:rFonts w:ascii="Titillium Web" w:hAnsi="Titillium Web"/>
          <w:sz w:val="20"/>
          <w:szCs w:val="20"/>
        </w:rPr>
      </w:pPr>
    </w:p>
    <w:p w14:paraId="0000024C"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Derivative products are specialized instruments that require investment techniques and risk analysis which are different from those associated with stocks and other traditional securities.</w:t>
      </w:r>
    </w:p>
    <w:p w14:paraId="0000024D" w14:textId="77777777" w:rsidR="00546EC1" w:rsidRPr="00BA2938" w:rsidRDefault="00546EC1" w:rsidP="00BA2938">
      <w:pPr>
        <w:spacing w:after="0" w:line="240" w:lineRule="auto"/>
        <w:jc w:val="both"/>
        <w:rPr>
          <w:rFonts w:ascii="Titillium Web" w:hAnsi="Titillium Web"/>
          <w:sz w:val="20"/>
          <w:szCs w:val="20"/>
        </w:rPr>
      </w:pPr>
    </w:p>
    <w:p w14:paraId="0000024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Derivatives are highly leveraged instruments and a small price fluctuation in the underlying can have a larger impact on its value. Thus, its use can lead to disproportionate gains or losses to the portfolio. Execution of derivatives instruments depends on the ability of the fund manager to identify good opportunities. Identification and execution of the strategies to be pursued by the fund manager involve uncertainty and decision of fund manager may not always be profitable. No assurance can be given that the fund manager will be able to identify or execute such strategies.</w:t>
      </w:r>
    </w:p>
    <w:p w14:paraId="0000024F" w14:textId="77777777" w:rsidR="00546EC1" w:rsidRPr="00BA2938" w:rsidRDefault="00546EC1" w:rsidP="00BA2938">
      <w:pPr>
        <w:spacing w:after="0" w:line="240" w:lineRule="auto"/>
        <w:jc w:val="both"/>
        <w:rPr>
          <w:rFonts w:ascii="Titillium Web" w:hAnsi="Titillium Web"/>
          <w:sz w:val="20"/>
          <w:szCs w:val="20"/>
        </w:rPr>
      </w:pPr>
    </w:p>
    <w:p w14:paraId="0000025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highlight w:val="white"/>
        </w:rPr>
        <w:t>The risks associated with the use of Derivatives are different from or possibly greater than, the risks associated with investing directly in securities and other traditional investments.</w:t>
      </w:r>
    </w:p>
    <w:p w14:paraId="00000251" w14:textId="77777777" w:rsidR="00546EC1" w:rsidRPr="00BA2938" w:rsidRDefault="00546EC1" w:rsidP="00BA2938">
      <w:pPr>
        <w:spacing w:after="0" w:line="240" w:lineRule="auto"/>
        <w:jc w:val="both"/>
        <w:rPr>
          <w:rFonts w:ascii="Titillium Web" w:hAnsi="Titillium Web"/>
          <w:sz w:val="20"/>
          <w:szCs w:val="20"/>
        </w:rPr>
      </w:pPr>
    </w:p>
    <w:p w14:paraId="00000252"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 associated with Short Selling &amp; Securities Lending</w:t>
      </w:r>
    </w:p>
    <w:p w14:paraId="0000025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Securities Lending is a lending of securities through an approved intermediary to a borrower under an agreement for a specified period with the condition that the borrower will return equivalent securities of the same type or class at the end of the specified period along with the corporate benefits accruing on the securities borrowed. There are risks inherent in securities lending, including the risk of failure of the other party, in this case the approved intermediary to comply with the terms of the agreement. Such failure can result in a possible loss of rights to the collateral, the inability of the approved intermediary to return the securities deposited by the lender and the possible loss of corporate benefits accruing thereon.</w:t>
      </w:r>
    </w:p>
    <w:p w14:paraId="00000254" w14:textId="77777777" w:rsidR="00546EC1" w:rsidRPr="00BA2938" w:rsidRDefault="00546EC1" w:rsidP="00BA2938">
      <w:pPr>
        <w:spacing w:after="0" w:line="240" w:lineRule="auto"/>
        <w:jc w:val="both"/>
        <w:rPr>
          <w:rFonts w:ascii="Titillium Web" w:hAnsi="Titillium Web"/>
          <w:sz w:val="20"/>
          <w:szCs w:val="20"/>
        </w:rPr>
      </w:pPr>
    </w:p>
    <w:p w14:paraId="0000025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Short selling is the sale of shares or securities that the seller does not own at the time of trading.  Instead, he borrows it from someone who already owns it. Later, the short seller buys back the stock/security he shorted and returns the stock/security to the lender to close out the loan. The inherent risks are Counterparty risk and liquidity risk of the stock/security being borrowed. The security being short sold might be illiquid or become illiquid and covering of the security might occur at a much higher price level than anticipated, leading to losses.</w:t>
      </w:r>
    </w:p>
    <w:p w14:paraId="00000256" w14:textId="77777777" w:rsidR="00546EC1" w:rsidRPr="00BA2938" w:rsidRDefault="00546EC1" w:rsidP="00BA2938">
      <w:pPr>
        <w:spacing w:after="0" w:line="240" w:lineRule="auto"/>
        <w:jc w:val="both"/>
        <w:rPr>
          <w:rFonts w:ascii="Titillium Web" w:hAnsi="Titillium Web"/>
          <w:sz w:val="20"/>
          <w:szCs w:val="20"/>
        </w:rPr>
      </w:pPr>
    </w:p>
    <w:p w14:paraId="00000257"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 factor associated with segregated portfolio</w:t>
      </w:r>
    </w:p>
    <w:p w14:paraId="0000025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Investor holding units of segregated portfolio may not be able to liquidate their holding till the time realisable value is recovered. </w:t>
      </w:r>
    </w:p>
    <w:p w14:paraId="00000259" w14:textId="77777777" w:rsidR="00546EC1" w:rsidRPr="00BA2938" w:rsidRDefault="00546EC1" w:rsidP="00BA2938">
      <w:pPr>
        <w:spacing w:after="0" w:line="240" w:lineRule="auto"/>
        <w:jc w:val="both"/>
        <w:rPr>
          <w:rFonts w:ascii="Titillium Web" w:hAnsi="Titillium Web"/>
          <w:sz w:val="20"/>
          <w:szCs w:val="20"/>
        </w:rPr>
      </w:pPr>
    </w:p>
    <w:p w14:paraId="0000025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Security comprising of segregated portfolio may realise lower value or may realise zero value. </w:t>
      </w:r>
    </w:p>
    <w:p w14:paraId="0000025B" w14:textId="77777777" w:rsidR="00546EC1" w:rsidRPr="00BA2938" w:rsidRDefault="00546EC1" w:rsidP="00BA2938">
      <w:pPr>
        <w:spacing w:after="0" w:line="240" w:lineRule="auto"/>
        <w:jc w:val="both"/>
        <w:rPr>
          <w:rFonts w:ascii="Titillium Web" w:hAnsi="Titillium Web"/>
          <w:sz w:val="20"/>
          <w:szCs w:val="20"/>
        </w:rPr>
      </w:pPr>
    </w:p>
    <w:p w14:paraId="0000025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Listing of units of segregated portfolio in </w:t>
      </w:r>
      <w:proofErr w:type="spellStart"/>
      <w:r w:rsidRPr="00BA2938">
        <w:rPr>
          <w:rFonts w:ascii="Titillium Web" w:hAnsi="Titillium Web"/>
          <w:sz w:val="20"/>
          <w:szCs w:val="20"/>
        </w:rPr>
        <w:t>recognised</w:t>
      </w:r>
      <w:proofErr w:type="spellEnd"/>
      <w:r w:rsidRPr="00BA2938">
        <w:rPr>
          <w:rFonts w:ascii="Titillium Web" w:hAnsi="Titillium Web"/>
          <w:sz w:val="20"/>
          <w:szCs w:val="20"/>
        </w:rPr>
        <w:t xml:space="preserve"> stock exchange does not necessarily guarantee their liquidity. There may not be active trading of units in the stock market. Further trading price of units on the stock market may be significantly lower than the prevailing NAV.   </w:t>
      </w:r>
    </w:p>
    <w:p w14:paraId="0000025D" w14:textId="77777777" w:rsidR="00546EC1" w:rsidRPr="00BA2938" w:rsidRDefault="00546EC1" w:rsidP="00BA2938">
      <w:pPr>
        <w:spacing w:after="0" w:line="240" w:lineRule="auto"/>
        <w:jc w:val="both"/>
        <w:rPr>
          <w:rFonts w:ascii="Titillium Web" w:hAnsi="Titillium Web"/>
          <w:sz w:val="20"/>
          <w:szCs w:val="20"/>
        </w:rPr>
      </w:pPr>
    </w:p>
    <w:p w14:paraId="0000025E"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factors associated with investments in Repo Transactions in Corporate Bond:</w:t>
      </w:r>
    </w:p>
    <w:p w14:paraId="0000025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In repo transactions, securities are sold with the seller agreeing to buy them back at later date. The repurchase price should be greater than the original sale price, the difference effectively representing interest. A repo is economically </w:t>
      </w:r>
      <w:proofErr w:type="gramStart"/>
      <w:r w:rsidRPr="00BA2938">
        <w:rPr>
          <w:rFonts w:ascii="Titillium Web" w:hAnsi="Titillium Web"/>
          <w:sz w:val="20"/>
          <w:szCs w:val="20"/>
        </w:rPr>
        <w:t>similar to</w:t>
      </w:r>
      <w:proofErr w:type="gramEnd"/>
      <w:r w:rsidRPr="00BA2938">
        <w:rPr>
          <w:rFonts w:ascii="Titillium Web" w:hAnsi="Titillium Web"/>
          <w:sz w:val="20"/>
          <w:szCs w:val="20"/>
        </w:rPr>
        <w:t xml:space="preserve"> a secured loan, with the buyer receiving corporate debt securities as collateral to protect against default. The Scheme may invest in repo of corporate debt securities which are subject to the following risks:</w:t>
      </w:r>
    </w:p>
    <w:p w14:paraId="00000260" w14:textId="77777777" w:rsidR="00546EC1" w:rsidRPr="00BA2938" w:rsidRDefault="00546EC1" w:rsidP="00BA2938">
      <w:pPr>
        <w:spacing w:after="0" w:line="240" w:lineRule="auto"/>
        <w:jc w:val="both"/>
        <w:rPr>
          <w:rFonts w:ascii="Titillium Web" w:hAnsi="Titillium Web"/>
          <w:sz w:val="20"/>
          <w:szCs w:val="20"/>
        </w:rPr>
      </w:pPr>
    </w:p>
    <w:p w14:paraId="0000026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Counter party Risk: </w:t>
      </w:r>
      <w:r w:rsidRPr="00BA2938">
        <w:rPr>
          <w:rFonts w:ascii="Titillium Web" w:hAnsi="Titillium Web"/>
          <w:sz w:val="20"/>
          <w:szCs w:val="20"/>
        </w:rPr>
        <w:t xml:space="preserve">This refers to the inability of the seller to meet the obligation to buy back securities at the contracted price on the contracted date. The Investment Manager will endeavour to manage counterparty risk by dealing only with counterparties, having strong credit profiles, approved by our credit risk analysis team. The exposure to each counterparty will be within the overall approved credit limits. Also, the counterparty risk is to an extent mitigated by taking collateral equivalent in value to the transaction after knocking off a minimum haircut on the intrinsic value of the collateral. In the event of default by the repo counterparty, the scheme shall have recourse to the corporate debt securities. </w:t>
      </w:r>
    </w:p>
    <w:p w14:paraId="00000262" w14:textId="77777777" w:rsidR="00546EC1" w:rsidRPr="00BA2938" w:rsidRDefault="00546EC1" w:rsidP="00BA2938">
      <w:pPr>
        <w:spacing w:after="0" w:line="240" w:lineRule="auto"/>
        <w:jc w:val="both"/>
        <w:rPr>
          <w:rFonts w:ascii="Titillium Web" w:hAnsi="Titillium Web"/>
          <w:sz w:val="20"/>
          <w:szCs w:val="20"/>
        </w:rPr>
      </w:pPr>
    </w:p>
    <w:p w14:paraId="0000026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Collateral Risk: </w:t>
      </w:r>
      <w:r w:rsidRPr="00BA2938">
        <w:rPr>
          <w:rFonts w:ascii="Titillium Web" w:hAnsi="Titillium Web"/>
          <w:sz w:val="20"/>
          <w:szCs w:val="20"/>
        </w:rPr>
        <w:t xml:space="preserve">Collateral risk arises when the market value of the securities is inadequate to meet the repo obligations. This risk is mitigated by restricting participation in repo transactions only in AA or equivalent and above rated money market and corporate debt securities. Any rating downgrade will be tantamount to either an early termination of the repo agreement or a call for fresh margin to meet the minimum haircut requirement. In addition, the Investment manager may apply a higher haircut on the underlying security than mentioned above to adjust for the illiquidity and interest rate risk on the underlying instrument. The adequacy of the collateral will be monitored </w:t>
      </w:r>
      <w:proofErr w:type="gramStart"/>
      <w:r w:rsidRPr="00BA2938">
        <w:rPr>
          <w:rFonts w:ascii="Titillium Web" w:hAnsi="Titillium Web"/>
          <w:sz w:val="20"/>
          <w:szCs w:val="20"/>
        </w:rPr>
        <w:t>on a daily basis</w:t>
      </w:r>
      <w:proofErr w:type="gramEnd"/>
      <w:r w:rsidRPr="00BA2938">
        <w:rPr>
          <w:rFonts w:ascii="Titillium Web" w:hAnsi="Titillium Web"/>
          <w:sz w:val="20"/>
          <w:szCs w:val="20"/>
        </w:rPr>
        <w:t xml:space="preserve"> by considering the daily market value &amp; applying the prescribed haircut. The fund manager shall then arrange for additional collateral from the counterparty, within a period of 1 business day. If the counterparty is not able to top-up either in form of cash / collateral, it </w:t>
      </w:r>
      <w:proofErr w:type="gramStart"/>
      <w:r w:rsidRPr="00BA2938">
        <w:rPr>
          <w:rFonts w:ascii="Titillium Web" w:hAnsi="Titillium Web"/>
          <w:sz w:val="20"/>
          <w:szCs w:val="20"/>
        </w:rPr>
        <w:t>shall</w:t>
      </w:r>
      <w:proofErr w:type="gramEnd"/>
      <w:r w:rsidRPr="00BA2938">
        <w:rPr>
          <w:rFonts w:ascii="Titillium Web" w:hAnsi="Titillium Web"/>
          <w:sz w:val="20"/>
          <w:szCs w:val="20"/>
        </w:rPr>
        <w:t xml:space="preserve"> tantamount to early termination of the repo agreement.</w:t>
      </w:r>
    </w:p>
    <w:p w14:paraId="00000264" w14:textId="77777777" w:rsidR="00546EC1" w:rsidRPr="00BA2938" w:rsidRDefault="00546EC1" w:rsidP="00BA2938">
      <w:pPr>
        <w:spacing w:after="0" w:line="240" w:lineRule="auto"/>
        <w:jc w:val="both"/>
        <w:rPr>
          <w:rFonts w:ascii="Titillium Web" w:hAnsi="Titillium Web"/>
          <w:b/>
          <w:sz w:val="20"/>
          <w:szCs w:val="20"/>
        </w:rPr>
      </w:pPr>
    </w:p>
    <w:p w14:paraId="00000265"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Risk Control </w:t>
      </w:r>
    </w:p>
    <w:p w14:paraId="0000026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risk control process involves reducing risks through portfolio diversification. This diversification would help achieve the desired level of consistency in returns. The AMC aims to identify securities, which offer superior levels of yield at lower levels of risks. There would be regular rebalancing of the portfolio </w:t>
      </w:r>
      <w:proofErr w:type="gramStart"/>
      <w:r w:rsidRPr="00BA2938">
        <w:rPr>
          <w:rFonts w:ascii="Titillium Web" w:hAnsi="Titillium Web"/>
          <w:sz w:val="20"/>
          <w:szCs w:val="20"/>
        </w:rPr>
        <w:t>taking into account</w:t>
      </w:r>
      <w:proofErr w:type="gramEnd"/>
      <w:r w:rsidRPr="00BA2938">
        <w:rPr>
          <w:rFonts w:ascii="Titillium Web" w:hAnsi="Titillium Web"/>
          <w:sz w:val="20"/>
          <w:szCs w:val="20"/>
        </w:rPr>
        <w:t xml:space="preserve"> the change in weights of stocks in the Index.</w:t>
      </w:r>
    </w:p>
    <w:p w14:paraId="00000267" w14:textId="77777777" w:rsidR="00546EC1" w:rsidRPr="00BA2938" w:rsidRDefault="00546EC1" w:rsidP="00BA2938">
      <w:pPr>
        <w:spacing w:after="0" w:line="240" w:lineRule="auto"/>
        <w:jc w:val="both"/>
        <w:rPr>
          <w:rFonts w:ascii="Titillium Web" w:hAnsi="Titillium Web"/>
          <w:sz w:val="20"/>
          <w:szCs w:val="20"/>
        </w:rPr>
      </w:pPr>
    </w:p>
    <w:p w14:paraId="0000026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Nifty India Manufacturing Index Fund being a passive investment carries lesser risk as compared to active fund management. The portfolio follows the index and therefore the level of stock concentration in the portfolio and its volatility would be the same as that of the index, subject to tracking error. Thus, there is no additional element of volatility or stock concentration on account of fund manager decisions.</w:t>
      </w:r>
    </w:p>
    <w:p w14:paraId="00000269" w14:textId="77777777" w:rsidR="00546EC1" w:rsidRPr="00BA2938" w:rsidRDefault="00546EC1" w:rsidP="00BA2938">
      <w:pPr>
        <w:spacing w:after="0" w:line="240" w:lineRule="auto"/>
        <w:jc w:val="both"/>
        <w:rPr>
          <w:rFonts w:ascii="Titillium Web" w:hAnsi="Titillium Web"/>
          <w:sz w:val="20"/>
          <w:szCs w:val="20"/>
        </w:rPr>
      </w:pPr>
    </w:p>
    <w:p w14:paraId="0000026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While these measures are expected to </w:t>
      </w:r>
      <w:proofErr w:type="gramStart"/>
      <w:r w:rsidRPr="00BA2938">
        <w:rPr>
          <w:rFonts w:ascii="Titillium Web" w:hAnsi="Titillium Web"/>
          <w:sz w:val="20"/>
          <w:szCs w:val="20"/>
        </w:rPr>
        <w:t>mitigate the above risks to a large extent</w:t>
      </w:r>
      <w:proofErr w:type="gramEnd"/>
      <w:r w:rsidRPr="00BA2938">
        <w:rPr>
          <w:rFonts w:ascii="Titillium Web" w:hAnsi="Titillium Web"/>
          <w:sz w:val="20"/>
          <w:szCs w:val="20"/>
        </w:rPr>
        <w:t>, there can be no assurance that these risks would be completely eliminated.</w:t>
      </w:r>
    </w:p>
    <w:p w14:paraId="0000026B" w14:textId="77777777" w:rsidR="00546EC1" w:rsidRPr="00BA2938" w:rsidRDefault="00546EC1" w:rsidP="00BA2938">
      <w:pPr>
        <w:spacing w:after="0" w:line="240" w:lineRule="auto"/>
        <w:jc w:val="both"/>
        <w:rPr>
          <w:rFonts w:ascii="Titillium Web" w:hAnsi="Titillium Web"/>
          <w:sz w:val="20"/>
          <w:szCs w:val="20"/>
        </w:rPr>
      </w:pPr>
    </w:p>
    <w:p w14:paraId="0000026C" w14:textId="77777777" w:rsidR="00546EC1" w:rsidRPr="00BA2938" w:rsidRDefault="00000000" w:rsidP="00BA2938">
      <w:pPr>
        <w:pStyle w:val="Heading2"/>
        <w:spacing w:before="0" w:line="240" w:lineRule="auto"/>
        <w:jc w:val="both"/>
        <w:rPr>
          <w:rFonts w:ascii="Titillium Web" w:eastAsia="Calibri" w:hAnsi="Titillium Web" w:cs="Calibri"/>
          <w:b/>
          <w:color w:val="000000"/>
          <w:sz w:val="20"/>
          <w:szCs w:val="20"/>
        </w:rPr>
      </w:pPr>
      <w:bookmarkStart w:id="11" w:name="_heading=h.fvv0lx6gevy0" w:colFirst="0" w:colLast="0"/>
      <w:bookmarkEnd w:id="11"/>
      <w:r w:rsidRPr="00BA2938">
        <w:rPr>
          <w:rFonts w:ascii="Titillium Web" w:eastAsia="Calibri" w:hAnsi="Titillium Web" w:cs="Calibri"/>
          <w:b/>
          <w:color w:val="000000"/>
          <w:sz w:val="20"/>
          <w:szCs w:val="20"/>
        </w:rPr>
        <w:lastRenderedPageBreak/>
        <w:t xml:space="preserve">Risk mitigation strategies </w:t>
      </w:r>
    </w:p>
    <w:tbl>
      <w:tblPr>
        <w:tblStyle w:val="a2"/>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4677"/>
      </w:tblGrid>
      <w:tr w:rsidR="00546EC1" w:rsidRPr="00BA2938" w14:paraId="62577E9F" w14:textId="77777777">
        <w:tc>
          <w:tcPr>
            <w:tcW w:w="4390" w:type="dxa"/>
          </w:tcPr>
          <w:p w14:paraId="0000026D"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sz w:val="20"/>
                <w:szCs w:val="20"/>
              </w:rPr>
            </w:pPr>
            <w:r w:rsidRPr="00BA2938">
              <w:rPr>
                <w:rFonts w:ascii="Titillium Web" w:hAnsi="Titillium Web"/>
                <w:b/>
                <w:sz w:val="20"/>
                <w:szCs w:val="20"/>
              </w:rPr>
              <w:t>Risk and Description</w:t>
            </w:r>
          </w:p>
        </w:tc>
        <w:tc>
          <w:tcPr>
            <w:tcW w:w="4677" w:type="dxa"/>
          </w:tcPr>
          <w:p w14:paraId="0000026E"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sz w:val="20"/>
                <w:szCs w:val="20"/>
              </w:rPr>
            </w:pPr>
            <w:r w:rsidRPr="00BA2938">
              <w:rPr>
                <w:rFonts w:ascii="Titillium Web" w:hAnsi="Titillium Web"/>
                <w:b/>
                <w:sz w:val="20"/>
                <w:szCs w:val="20"/>
              </w:rPr>
              <w:t>Risk Mitigants/management strategy</w:t>
            </w:r>
          </w:p>
        </w:tc>
      </w:tr>
      <w:tr w:rsidR="00546EC1" w:rsidRPr="00BA2938" w14:paraId="51A18249" w14:textId="77777777">
        <w:tc>
          <w:tcPr>
            <w:tcW w:w="9067" w:type="dxa"/>
            <w:gridSpan w:val="2"/>
          </w:tcPr>
          <w:p w14:paraId="0000026F"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b/>
                <w:sz w:val="20"/>
                <w:szCs w:val="20"/>
              </w:rPr>
              <w:t>Risks associated with Equity investments</w:t>
            </w:r>
          </w:p>
        </w:tc>
      </w:tr>
      <w:tr w:rsidR="00546EC1" w:rsidRPr="00BA2938" w14:paraId="3C101345" w14:textId="77777777">
        <w:tc>
          <w:tcPr>
            <w:tcW w:w="4390" w:type="dxa"/>
          </w:tcPr>
          <w:p w14:paraId="00000271"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Derivatives Risk: As and when the Scheme trades in the derivatives market there are risk factors and issues concerning the use of derivatives since derivative products are specialized instruments that require investment techniques and risk analyses different from those associated with stocks and bonds.</w:t>
            </w:r>
          </w:p>
        </w:tc>
        <w:tc>
          <w:tcPr>
            <w:tcW w:w="4677" w:type="dxa"/>
          </w:tcPr>
          <w:p w14:paraId="00000272"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Derivatives will be used in the form of Index Options, Index Futures and other instruments as may be permitted by SEBI. All derivatives trade will be done only on the exchange with guaranteed settlement. The AMC monitors the portfolio and regulatory limits for derivatives through its front office monitoring system. Exposure to derivatives of stocks or underlying index will be done based on requisite research. Fund managers will endeavor to use derivatives which are liquid and traded frequently on the exchanges. Exposure with respect to derivatives shall be in line with regulatory limits and the limits specified in the SID. Such exposure shall also be regularly reviewed by the Fund manager. No OTC contracts will be entered into.</w:t>
            </w:r>
          </w:p>
        </w:tc>
      </w:tr>
      <w:tr w:rsidR="00546EC1" w:rsidRPr="00BA2938" w14:paraId="4FC0155B" w14:textId="77777777">
        <w:tc>
          <w:tcPr>
            <w:tcW w:w="4390" w:type="dxa"/>
          </w:tcPr>
          <w:p w14:paraId="00000273"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 xml:space="preserve">Liquidity risk: The liquidity of the Scheme’s investments is inherently restricted by trading volumes in the securities in which they </w:t>
            </w:r>
            <w:proofErr w:type="gramStart"/>
            <w:r w:rsidRPr="00BA2938">
              <w:rPr>
                <w:rFonts w:ascii="Titillium Web" w:hAnsi="Titillium Web"/>
                <w:sz w:val="20"/>
                <w:szCs w:val="20"/>
              </w:rPr>
              <w:t>invests</w:t>
            </w:r>
            <w:proofErr w:type="gramEnd"/>
          </w:p>
        </w:tc>
        <w:tc>
          <w:tcPr>
            <w:tcW w:w="4677" w:type="dxa"/>
          </w:tcPr>
          <w:p w14:paraId="00000274"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The Scheme will try to maintain a proper asset-liability match to ensure redemption payments are made on time and not affected by illiquidity of the underlying stocks</w:t>
            </w:r>
          </w:p>
        </w:tc>
      </w:tr>
      <w:tr w:rsidR="00546EC1" w:rsidRPr="00BA2938" w14:paraId="1700355A" w14:textId="77777777">
        <w:tc>
          <w:tcPr>
            <w:tcW w:w="4390" w:type="dxa"/>
          </w:tcPr>
          <w:p w14:paraId="00000275"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Tracking Error risk (Volatility/ Concentration risk): The performance of the Scheme may not be commensurate with the performance of the underlying Index on any given day or over any given period</w:t>
            </w:r>
          </w:p>
        </w:tc>
        <w:tc>
          <w:tcPr>
            <w:tcW w:w="4677" w:type="dxa"/>
          </w:tcPr>
          <w:p w14:paraId="00000276"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Tracking Error risk (Volatility/ Concentration risk): Over a short to medium period, the Scheme may carry the risk of variance between portfolio composition and Benchmark. The objectives of the Scheme are to track the performance of the Underlying Index over the same period, subject to tracking error. The Scheme would endeavor to maintain a low tracking error by actively aligning the portfolio in line with the Index.</w:t>
            </w:r>
          </w:p>
        </w:tc>
      </w:tr>
      <w:tr w:rsidR="00546EC1" w:rsidRPr="00BA2938" w14:paraId="7E0B89BE" w14:textId="77777777">
        <w:tc>
          <w:tcPr>
            <w:tcW w:w="9067" w:type="dxa"/>
            <w:gridSpan w:val="2"/>
          </w:tcPr>
          <w:p w14:paraId="00000277"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sz w:val="20"/>
                <w:szCs w:val="20"/>
              </w:rPr>
            </w:pPr>
            <w:r w:rsidRPr="00BA2938">
              <w:rPr>
                <w:rFonts w:ascii="Titillium Web" w:hAnsi="Titillium Web"/>
                <w:b/>
                <w:sz w:val="20"/>
                <w:szCs w:val="20"/>
              </w:rPr>
              <w:t>Risks associated with Debt/Money market investments</w:t>
            </w:r>
          </w:p>
        </w:tc>
      </w:tr>
      <w:tr w:rsidR="00546EC1" w:rsidRPr="00BA2938" w14:paraId="1BB04C3D" w14:textId="77777777">
        <w:tc>
          <w:tcPr>
            <w:tcW w:w="4390" w:type="dxa"/>
          </w:tcPr>
          <w:p w14:paraId="00000279"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 xml:space="preserve">Market Risk/ Interest Rate </w:t>
            </w:r>
            <w:proofErr w:type="gramStart"/>
            <w:r w:rsidRPr="00BA2938">
              <w:rPr>
                <w:rFonts w:ascii="Titillium Web" w:hAnsi="Titillium Web"/>
                <w:sz w:val="20"/>
                <w:szCs w:val="20"/>
              </w:rPr>
              <w:t>Risk :</w:t>
            </w:r>
            <w:proofErr w:type="gramEnd"/>
            <w:r w:rsidRPr="00BA2938">
              <w:rPr>
                <w:rFonts w:ascii="Titillium Web" w:hAnsi="Titillium Web"/>
                <w:sz w:val="20"/>
                <w:szCs w:val="20"/>
              </w:rPr>
              <w:t xml:space="preserve"> As with all debt securities, changes in interest rates may affect the Scheme’s Net Asset Value as the prices of securities generally increase as interest rates decline and generally decrease as interest rates rise. Prices of long-term securities generally fluctuate more in response to interest rate changes than do short-term securities. Indian </w:t>
            </w:r>
            <w:r w:rsidRPr="00BA2938">
              <w:rPr>
                <w:rFonts w:ascii="Titillium Web" w:hAnsi="Titillium Web"/>
                <w:sz w:val="20"/>
                <w:szCs w:val="20"/>
              </w:rPr>
              <w:lastRenderedPageBreak/>
              <w:t>debt markets can be volatile leading to the possibility of price movements up or down in fixed income securities and thereby to possible movements in the NAV</w:t>
            </w:r>
          </w:p>
        </w:tc>
        <w:tc>
          <w:tcPr>
            <w:tcW w:w="4677" w:type="dxa"/>
          </w:tcPr>
          <w:p w14:paraId="0000027A"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lastRenderedPageBreak/>
              <w:t xml:space="preserve">In a rising interest rate </w:t>
            </w:r>
            <w:proofErr w:type="gramStart"/>
            <w:r w:rsidRPr="00BA2938">
              <w:rPr>
                <w:rFonts w:ascii="Titillium Web" w:hAnsi="Titillium Web"/>
                <w:sz w:val="20"/>
                <w:szCs w:val="20"/>
              </w:rPr>
              <w:t>scenario</w:t>
            </w:r>
            <w:proofErr w:type="gramEnd"/>
            <w:r w:rsidRPr="00BA2938">
              <w:rPr>
                <w:rFonts w:ascii="Titillium Web" w:hAnsi="Titillium Web"/>
                <w:sz w:val="20"/>
                <w:szCs w:val="20"/>
              </w:rPr>
              <w:t xml:space="preserve"> the scheme may increase its investment in money market securities whereas if the interest rates are expected to fall the allocation to debt securities with longer maturity may be increased thereby mitigating risk to that extent.</w:t>
            </w:r>
          </w:p>
        </w:tc>
      </w:tr>
      <w:tr w:rsidR="00546EC1" w:rsidRPr="00BA2938" w14:paraId="5569908F" w14:textId="77777777">
        <w:tc>
          <w:tcPr>
            <w:tcW w:w="4390" w:type="dxa"/>
          </w:tcPr>
          <w:p w14:paraId="0000027B"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 xml:space="preserve">Liquidity or Marketability </w:t>
            </w:r>
            <w:proofErr w:type="gramStart"/>
            <w:r w:rsidRPr="00BA2938">
              <w:rPr>
                <w:rFonts w:ascii="Titillium Web" w:hAnsi="Titillium Web"/>
                <w:sz w:val="20"/>
                <w:szCs w:val="20"/>
              </w:rPr>
              <w:t>Risk :This</w:t>
            </w:r>
            <w:proofErr w:type="gramEnd"/>
            <w:r w:rsidRPr="00BA2938">
              <w:rPr>
                <w:rFonts w:ascii="Titillium Web" w:hAnsi="Titillium Web"/>
                <w:sz w:val="20"/>
                <w:szCs w:val="20"/>
              </w:rPr>
              <w:t xml:space="preserve"> refers to the ease with which a security can be sold at or near to its valuation yield-to-maturity (YTM).</w:t>
            </w:r>
          </w:p>
        </w:tc>
        <w:tc>
          <w:tcPr>
            <w:tcW w:w="4677" w:type="dxa"/>
          </w:tcPr>
          <w:p w14:paraId="0000027C"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The Scheme may invest in government securities and money market instruments. While the liquidity risk for government securities and money market instruments may be low</w:t>
            </w:r>
          </w:p>
        </w:tc>
      </w:tr>
      <w:tr w:rsidR="00546EC1" w:rsidRPr="00BA2938" w14:paraId="4DDB93F7" w14:textId="77777777">
        <w:tc>
          <w:tcPr>
            <w:tcW w:w="4390" w:type="dxa"/>
          </w:tcPr>
          <w:p w14:paraId="0000027D"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 xml:space="preserve">Credit </w:t>
            </w:r>
            <w:proofErr w:type="gramStart"/>
            <w:r w:rsidRPr="00BA2938">
              <w:rPr>
                <w:rFonts w:ascii="Titillium Web" w:hAnsi="Titillium Web"/>
                <w:sz w:val="20"/>
                <w:szCs w:val="20"/>
              </w:rPr>
              <w:t>Risk :</w:t>
            </w:r>
            <w:proofErr w:type="gramEnd"/>
            <w:r w:rsidRPr="00BA2938">
              <w:rPr>
                <w:rFonts w:ascii="Titillium Web" w:hAnsi="Titillium Web"/>
                <w:sz w:val="20"/>
                <w:szCs w:val="20"/>
              </w:rPr>
              <w:t xml:space="preserve"> Credit risk or default risk refers to the risk that an issuer of a fixed income security may default (i.e., will be unable to make timely principal and interest payments on the security).</w:t>
            </w:r>
          </w:p>
        </w:tc>
        <w:tc>
          <w:tcPr>
            <w:tcW w:w="4677" w:type="dxa"/>
          </w:tcPr>
          <w:p w14:paraId="0000027E"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 xml:space="preserve">Management analysis will be used for identifying company specific risks. Management’s past track record will also be studied. </w:t>
            </w:r>
            <w:proofErr w:type="gramStart"/>
            <w:r w:rsidRPr="00BA2938">
              <w:rPr>
                <w:rFonts w:ascii="Titillium Web" w:hAnsi="Titillium Web"/>
                <w:sz w:val="20"/>
                <w:szCs w:val="20"/>
              </w:rPr>
              <w:t>In order to</w:t>
            </w:r>
            <w:proofErr w:type="gramEnd"/>
            <w:r w:rsidRPr="00BA2938">
              <w:rPr>
                <w:rFonts w:ascii="Titillium Web" w:hAnsi="Titillium Web"/>
                <w:sz w:val="20"/>
                <w:szCs w:val="20"/>
              </w:rPr>
              <w:t xml:space="preserve"> assess financial risk a detailed assessment of the issuer’s financial statements will be undertaken</w:t>
            </w:r>
          </w:p>
        </w:tc>
      </w:tr>
      <w:tr w:rsidR="00546EC1" w:rsidRPr="00BA2938" w14:paraId="7BC858A6" w14:textId="77777777">
        <w:tc>
          <w:tcPr>
            <w:tcW w:w="4390" w:type="dxa"/>
          </w:tcPr>
          <w:p w14:paraId="0000027F"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 xml:space="preserve">Reinvestment </w:t>
            </w:r>
            <w:proofErr w:type="gramStart"/>
            <w:r w:rsidRPr="00BA2938">
              <w:rPr>
                <w:rFonts w:ascii="Titillium Web" w:hAnsi="Titillium Web"/>
                <w:sz w:val="20"/>
                <w:szCs w:val="20"/>
              </w:rPr>
              <w:t>Risk :</w:t>
            </w:r>
            <w:proofErr w:type="gramEnd"/>
            <w:r w:rsidRPr="00BA2938">
              <w:rPr>
                <w:rFonts w:ascii="Titillium Web" w:hAnsi="Titillium Web"/>
                <w:sz w:val="20"/>
                <w:szCs w:val="20"/>
              </w:rPr>
              <w:t xml:space="preserve"> This risk refers to the interest rate levels at which cash flows received from the securities in the Schemes are reinvested The risk is that the rate at which interim cash flows can be reinvested may be lower than that originally assumed.</w:t>
            </w:r>
          </w:p>
        </w:tc>
        <w:tc>
          <w:tcPr>
            <w:tcW w:w="4677" w:type="dxa"/>
          </w:tcPr>
          <w:p w14:paraId="00000280"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Reinvestment risks will be limited to the extent of coupons received on debt instruments, which will be a very small portion of the portfolio value</w:t>
            </w:r>
          </w:p>
        </w:tc>
      </w:tr>
    </w:tbl>
    <w:p w14:paraId="72D80BDC" w14:textId="77777777" w:rsidR="002E6533" w:rsidRDefault="002E6533" w:rsidP="00BA2938">
      <w:pPr>
        <w:pStyle w:val="Heading1"/>
        <w:spacing w:before="0" w:line="240" w:lineRule="auto"/>
        <w:jc w:val="both"/>
        <w:rPr>
          <w:rFonts w:ascii="Titillium Web" w:eastAsia="Calibri" w:hAnsi="Titillium Web" w:cs="Calibri"/>
          <w:b/>
          <w:color w:val="000000"/>
          <w:sz w:val="28"/>
          <w:szCs w:val="28"/>
        </w:rPr>
      </w:pPr>
      <w:bookmarkStart w:id="12" w:name="_heading=h.92qjxbugdj28" w:colFirst="0" w:colLast="0"/>
      <w:bookmarkEnd w:id="12"/>
    </w:p>
    <w:p w14:paraId="2EE9D1A6" w14:textId="77777777" w:rsidR="002E6533" w:rsidRDefault="002E6533">
      <w:pPr>
        <w:rPr>
          <w:rFonts w:ascii="Titillium Web" w:hAnsi="Titillium Web"/>
          <w:b/>
          <w:color w:val="000000"/>
          <w:sz w:val="28"/>
          <w:szCs w:val="28"/>
        </w:rPr>
      </w:pPr>
      <w:r>
        <w:rPr>
          <w:rFonts w:ascii="Titillium Web" w:hAnsi="Titillium Web"/>
          <w:b/>
          <w:color w:val="000000"/>
          <w:sz w:val="28"/>
          <w:szCs w:val="28"/>
        </w:rPr>
        <w:br w:type="page"/>
      </w:r>
    </w:p>
    <w:p w14:paraId="00000282" w14:textId="654BFB05" w:rsidR="00546EC1" w:rsidRDefault="00000000" w:rsidP="00FA14F4">
      <w:pPr>
        <w:pStyle w:val="Heading1"/>
        <w:spacing w:before="0" w:line="240" w:lineRule="auto"/>
        <w:jc w:val="center"/>
        <w:rPr>
          <w:rFonts w:ascii="Titillium Web" w:eastAsia="Calibri" w:hAnsi="Titillium Web" w:cs="Calibri"/>
          <w:b/>
          <w:color w:val="000000"/>
          <w:sz w:val="28"/>
          <w:szCs w:val="28"/>
        </w:rPr>
      </w:pPr>
      <w:r w:rsidRPr="00BA2938">
        <w:rPr>
          <w:rFonts w:ascii="Titillium Web" w:eastAsia="Calibri" w:hAnsi="Titillium Web" w:cs="Calibri"/>
          <w:b/>
          <w:color w:val="000000"/>
          <w:sz w:val="28"/>
          <w:szCs w:val="28"/>
        </w:rPr>
        <w:lastRenderedPageBreak/>
        <w:t>Navi ELSS Tax Saver Nifty 50 Index Fund</w:t>
      </w:r>
    </w:p>
    <w:p w14:paraId="6FAD49E0" w14:textId="77777777" w:rsidR="00BA2938" w:rsidRPr="00BA2938" w:rsidRDefault="00BA2938" w:rsidP="00BA2938"/>
    <w:p w14:paraId="00000283" w14:textId="77777777" w:rsidR="00546EC1" w:rsidRPr="00BA2938" w:rsidRDefault="00000000" w:rsidP="00BA2938">
      <w:pPr>
        <w:spacing w:after="0" w:line="240" w:lineRule="auto"/>
        <w:jc w:val="both"/>
        <w:rPr>
          <w:rFonts w:ascii="Titillium Web" w:hAnsi="Titillium Web"/>
          <w:b/>
          <w:sz w:val="20"/>
          <w:szCs w:val="20"/>
          <w:u w:val="single"/>
        </w:rPr>
      </w:pPr>
      <w:r w:rsidRPr="00BA2938">
        <w:rPr>
          <w:rFonts w:ascii="Titillium Web" w:hAnsi="Titillium Web"/>
          <w:b/>
          <w:sz w:val="20"/>
          <w:szCs w:val="20"/>
          <w:u w:val="single"/>
        </w:rPr>
        <w:t>Scheme Specific Risk Factors</w:t>
      </w:r>
    </w:p>
    <w:p w14:paraId="00000284" w14:textId="77777777" w:rsidR="00546EC1" w:rsidRPr="00BA2938" w:rsidRDefault="00546EC1" w:rsidP="00BA2938">
      <w:pPr>
        <w:spacing w:after="0" w:line="240" w:lineRule="auto"/>
        <w:jc w:val="both"/>
        <w:rPr>
          <w:rFonts w:ascii="Titillium Web" w:hAnsi="Titillium Web"/>
          <w:b/>
          <w:sz w:val="20"/>
          <w:szCs w:val="20"/>
        </w:rPr>
      </w:pPr>
    </w:p>
    <w:p w14:paraId="00000285"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Tracking Error Risk: </w:t>
      </w:r>
      <w:r w:rsidRPr="00BA2938">
        <w:rPr>
          <w:rFonts w:ascii="Titillium Web" w:hAnsi="Titillium Web"/>
          <w:sz w:val="20"/>
          <w:szCs w:val="20"/>
        </w:rPr>
        <w:t xml:space="preserve">The Fund Manager would not be able to invest the entire corpus exactly in the same proportion as in the underlying Index due to certain factors such as the fees and expenses of the Scheme, corporate actions, cash balance and changes to the underlying Index and regulatory restrictions, lack of liquidity which may result in Tracking Error. Hence it may affect AMC’s ability to achieve close correlation with the underlying Index of the Scheme. The Scheme’s returns may therefore deviate from its underlying Index. "Tracking Error" is defined as the standard deviation of the difference between daily returns of the underlying Index and the NAV of the Scheme. The Fund Manager would monitor the Tracking Error of the Scheme on an ongoing basis and would seek to minimize the Tracking Error to the maximum extent possible. </w:t>
      </w:r>
    </w:p>
    <w:p w14:paraId="7542AEA7" w14:textId="77777777" w:rsidR="00BA2938" w:rsidRPr="00BA2938" w:rsidRDefault="00BA2938" w:rsidP="00BA2938">
      <w:pPr>
        <w:spacing w:after="0" w:line="240" w:lineRule="auto"/>
        <w:jc w:val="both"/>
        <w:rPr>
          <w:rFonts w:ascii="Titillium Web" w:hAnsi="Titillium Web"/>
          <w:sz w:val="20"/>
          <w:szCs w:val="20"/>
        </w:rPr>
      </w:pPr>
    </w:p>
    <w:p w14:paraId="00000286"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Tracking errors are inherent in any Index fund and such errors may cause the scheme to generate returns which are not in line with the performance of the Nifty 50 </w:t>
      </w:r>
      <w:proofErr w:type="gramStart"/>
      <w:r w:rsidRPr="00BA2938">
        <w:rPr>
          <w:rFonts w:ascii="Titillium Web" w:hAnsi="Titillium Web"/>
          <w:sz w:val="20"/>
          <w:szCs w:val="20"/>
        </w:rPr>
        <w:t>Index</w:t>
      </w:r>
      <w:proofErr w:type="gramEnd"/>
      <w:r w:rsidRPr="00BA2938">
        <w:rPr>
          <w:rFonts w:ascii="Titillium Web" w:hAnsi="Titillium Web"/>
          <w:sz w:val="20"/>
          <w:szCs w:val="20"/>
        </w:rPr>
        <w:t xml:space="preserve"> or one or more securities covered by / included in the Nifty 50 and may arise from a variety of factors including but not limited to:</w:t>
      </w:r>
    </w:p>
    <w:p w14:paraId="3AA4A955" w14:textId="77777777" w:rsidR="00BA2938" w:rsidRPr="00BA2938" w:rsidRDefault="00BA2938" w:rsidP="00BA2938">
      <w:pPr>
        <w:spacing w:after="0" w:line="240" w:lineRule="auto"/>
        <w:jc w:val="both"/>
        <w:rPr>
          <w:rFonts w:ascii="Titillium Web" w:hAnsi="Titillium Web"/>
          <w:sz w:val="20"/>
          <w:szCs w:val="20"/>
        </w:rPr>
      </w:pPr>
    </w:p>
    <w:p w14:paraId="00000287" w14:textId="77777777" w:rsidR="00546EC1" w:rsidRPr="00BA2938" w:rsidRDefault="00000000" w:rsidP="00BA2938">
      <w:pPr>
        <w:numPr>
          <w:ilvl w:val="0"/>
          <w:numId w:val="5"/>
        </w:numPr>
        <w:pBdr>
          <w:top w:val="nil"/>
          <w:left w:val="nil"/>
          <w:bottom w:val="nil"/>
          <w:right w:val="nil"/>
          <w:between w:val="nil"/>
        </w:pBdr>
        <w:spacing w:after="0" w:line="240" w:lineRule="auto"/>
        <w:ind w:left="284" w:hanging="284"/>
        <w:jc w:val="both"/>
        <w:rPr>
          <w:rFonts w:ascii="Titillium Web" w:hAnsi="Titillium Web"/>
          <w:color w:val="000000"/>
          <w:sz w:val="20"/>
          <w:szCs w:val="20"/>
        </w:rPr>
      </w:pPr>
      <w:r w:rsidRPr="00BA2938">
        <w:rPr>
          <w:rFonts w:ascii="Titillium Web" w:hAnsi="Titillium Web"/>
          <w:color w:val="000000"/>
          <w:sz w:val="20"/>
          <w:szCs w:val="20"/>
        </w:rPr>
        <w:t xml:space="preserve">Any delay in the purchase or sale of securities due to illiquidity in the market, settlement and </w:t>
      </w:r>
      <w:proofErr w:type="spellStart"/>
      <w:r w:rsidRPr="00BA2938">
        <w:rPr>
          <w:rFonts w:ascii="Titillium Web" w:hAnsi="Titillium Web"/>
          <w:color w:val="000000"/>
          <w:sz w:val="20"/>
          <w:szCs w:val="20"/>
        </w:rPr>
        <w:t>realisation</w:t>
      </w:r>
      <w:proofErr w:type="spellEnd"/>
      <w:r w:rsidRPr="00BA2938">
        <w:rPr>
          <w:rFonts w:ascii="Titillium Web" w:hAnsi="Titillium Web"/>
          <w:color w:val="000000"/>
          <w:sz w:val="20"/>
          <w:szCs w:val="20"/>
        </w:rPr>
        <w:t xml:space="preserve"> of sales proceeds, delay in credit of securities or in receipt and consequent reinvestment of dividend, etc.</w:t>
      </w:r>
    </w:p>
    <w:p w14:paraId="00000288" w14:textId="77777777" w:rsidR="00546EC1" w:rsidRPr="00BA2938" w:rsidRDefault="00000000" w:rsidP="00BA2938">
      <w:pPr>
        <w:numPr>
          <w:ilvl w:val="0"/>
          <w:numId w:val="5"/>
        </w:numPr>
        <w:pBdr>
          <w:top w:val="nil"/>
          <w:left w:val="nil"/>
          <w:bottom w:val="nil"/>
          <w:right w:val="nil"/>
          <w:between w:val="nil"/>
        </w:pBdr>
        <w:spacing w:after="0" w:line="240" w:lineRule="auto"/>
        <w:ind w:left="284" w:hanging="284"/>
        <w:jc w:val="both"/>
        <w:rPr>
          <w:rFonts w:ascii="Titillium Web" w:hAnsi="Titillium Web"/>
          <w:color w:val="000000"/>
          <w:sz w:val="20"/>
          <w:szCs w:val="20"/>
        </w:rPr>
      </w:pPr>
      <w:r w:rsidRPr="00BA2938">
        <w:rPr>
          <w:rFonts w:ascii="Titillium Web" w:hAnsi="Titillium Web"/>
          <w:color w:val="000000"/>
          <w:sz w:val="20"/>
          <w:szCs w:val="20"/>
        </w:rPr>
        <w:t>The Index reflects the prices of securities at a point in time, which is the price at close of business day on the stock exchange. The scheme, however, may trade the securities at different points in time during the trading session and therefore the prices at which the scheme trades may not be 10 identical to the closing price of each scrip on that day on the respective stock exchange. In addition, the scheme may opt to trade the same securities on different exchanges due to price or liquidity factors, which may also result in traded prices being at variance from the closing price considered in the Index.</w:t>
      </w:r>
    </w:p>
    <w:p w14:paraId="00000289" w14:textId="77777777" w:rsidR="00546EC1" w:rsidRPr="00BA2938" w:rsidRDefault="00000000" w:rsidP="00BA2938">
      <w:pPr>
        <w:numPr>
          <w:ilvl w:val="0"/>
          <w:numId w:val="5"/>
        </w:numPr>
        <w:pBdr>
          <w:top w:val="nil"/>
          <w:left w:val="nil"/>
          <w:bottom w:val="nil"/>
          <w:right w:val="nil"/>
          <w:between w:val="nil"/>
        </w:pBdr>
        <w:spacing w:after="0" w:line="240" w:lineRule="auto"/>
        <w:ind w:left="284" w:hanging="284"/>
        <w:jc w:val="both"/>
        <w:rPr>
          <w:rFonts w:ascii="Titillium Web" w:hAnsi="Titillium Web"/>
          <w:color w:val="000000"/>
          <w:sz w:val="20"/>
          <w:szCs w:val="20"/>
        </w:rPr>
      </w:pPr>
      <w:r w:rsidRPr="00BA2938">
        <w:rPr>
          <w:rFonts w:ascii="Titillium Web" w:hAnsi="Titillium Web"/>
          <w:color w:val="000000"/>
          <w:sz w:val="20"/>
          <w:szCs w:val="20"/>
        </w:rPr>
        <w:t>The potential of trades to fail may result in the scheme not having acquired the security at the price necessary to mirror the Index</w:t>
      </w:r>
    </w:p>
    <w:p w14:paraId="0000028A" w14:textId="77777777" w:rsidR="00546EC1" w:rsidRPr="00BA2938" w:rsidRDefault="00000000" w:rsidP="00BA2938">
      <w:pPr>
        <w:numPr>
          <w:ilvl w:val="0"/>
          <w:numId w:val="5"/>
        </w:numPr>
        <w:pBdr>
          <w:top w:val="nil"/>
          <w:left w:val="nil"/>
          <w:bottom w:val="nil"/>
          <w:right w:val="nil"/>
          <w:between w:val="nil"/>
        </w:pBdr>
        <w:spacing w:after="0" w:line="240" w:lineRule="auto"/>
        <w:ind w:left="284" w:hanging="284"/>
        <w:jc w:val="both"/>
        <w:rPr>
          <w:rFonts w:ascii="Titillium Web" w:hAnsi="Titillium Web"/>
          <w:color w:val="000000"/>
          <w:sz w:val="20"/>
          <w:szCs w:val="20"/>
        </w:rPr>
      </w:pPr>
      <w:r w:rsidRPr="00BA2938">
        <w:rPr>
          <w:rFonts w:ascii="Titillium Web" w:hAnsi="Titillium Web"/>
          <w:color w:val="000000"/>
          <w:sz w:val="20"/>
          <w:szCs w:val="20"/>
        </w:rPr>
        <w:t>Transaction and other expenses, such as but not limited to brokerage, custody, trustee and investment management fees.</w:t>
      </w:r>
    </w:p>
    <w:p w14:paraId="0000028B" w14:textId="77777777" w:rsidR="00546EC1" w:rsidRPr="00BA2938" w:rsidRDefault="00000000" w:rsidP="00BA2938">
      <w:pPr>
        <w:numPr>
          <w:ilvl w:val="0"/>
          <w:numId w:val="5"/>
        </w:numPr>
        <w:pBdr>
          <w:top w:val="nil"/>
          <w:left w:val="nil"/>
          <w:bottom w:val="nil"/>
          <w:right w:val="nil"/>
          <w:between w:val="nil"/>
        </w:pBdr>
        <w:spacing w:after="0" w:line="240" w:lineRule="auto"/>
        <w:ind w:left="284" w:hanging="284"/>
        <w:jc w:val="both"/>
        <w:rPr>
          <w:rFonts w:ascii="Titillium Web" w:hAnsi="Titillium Web"/>
          <w:color w:val="000000"/>
          <w:sz w:val="20"/>
          <w:szCs w:val="20"/>
        </w:rPr>
      </w:pPr>
      <w:r w:rsidRPr="00BA2938">
        <w:rPr>
          <w:rFonts w:ascii="Titillium Web" w:hAnsi="Titillium Web"/>
          <w:color w:val="000000"/>
          <w:sz w:val="20"/>
          <w:szCs w:val="20"/>
        </w:rPr>
        <w:t xml:space="preserve">Being an open-ended passive scheme, the scheme may hold appropriate levels of cash or cash equivalents to meet on going redemptions. </w:t>
      </w:r>
    </w:p>
    <w:p w14:paraId="0000028C" w14:textId="77777777" w:rsidR="00546EC1" w:rsidRPr="00BA2938" w:rsidRDefault="00000000" w:rsidP="00BA2938">
      <w:pPr>
        <w:numPr>
          <w:ilvl w:val="0"/>
          <w:numId w:val="5"/>
        </w:numPr>
        <w:pBdr>
          <w:top w:val="nil"/>
          <w:left w:val="nil"/>
          <w:bottom w:val="nil"/>
          <w:right w:val="nil"/>
          <w:between w:val="nil"/>
        </w:pBdr>
        <w:spacing w:after="0" w:line="240" w:lineRule="auto"/>
        <w:ind w:left="284" w:hanging="284"/>
        <w:jc w:val="both"/>
        <w:rPr>
          <w:rFonts w:ascii="Titillium Web" w:hAnsi="Titillium Web"/>
          <w:color w:val="000000"/>
          <w:sz w:val="20"/>
          <w:szCs w:val="20"/>
        </w:rPr>
      </w:pPr>
      <w:r w:rsidRPr="00BA2938">
        <w:rPr>
          <w:rFonts w:ascii="Titillium Web" w:hAnsi="Titillium Web"/>
          <w:color w:val="000000"/>
          <w:sz w:val="20"/>
          <w:szCs w:val="20"/>
        </w:rPr>
        <w:t xml:space="preserve">The scheme may not be able to acquire or sell the desired number of securities due to conditions prevailing in the securities market, such as, but not restricted to circuit filters in the securities, liquidity and volatility in security prices. The tracking error of the scheme based on past one year rolling data shall not exceed 2%. In case of unavoidable circumstances in the nature of force majeure, which are beyond the control of the AMCs, the tracking error may exceed 2% and the same shall be brought to the notice of Trustees with corrective actions taken by the AMC, if any. The Scheme will disclose the tracking error based on past one year rolling data, </w:t>
      </w:r>
      <w:proofErr w:type="gramStart"/>
      <w:r w:rsidRPr="00BA2938">
        <w:rPr>
          <w:rFonts w:ascii="Titillium Web" w:hAnsi="Titillium Web"/>
          <w:color w:val="000000"/>
          <w:sz w:val="20"/>
          <w:szCs w:val="20"/>
        </w:rPr>
        <w:t>on a daily basis</w:t>
      </w:r>
      <w:proofErr w:type="gramEnd"/>
      <w:r w:rsidRPr="00BA2938">
        <w:rPr>
          <w:rFonts w:ascii="Titillium Web" w:hAnsi="Titillium Web"/>
          <w:color w:val="000000"/>
          <w:sz w:val="20"/>
          <w:szCs w:val="20"/>
        </w:rPr>
        <w:t>, on the website of AMC and AMFI. In case the Scheme has been in existence for a period of less than one year, the annualized standard deviation shall be calculated based on available data.</w:t>
      </w:r>
    </w:p>
    <w:p w14:paraId="0000028D"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lastRenderedPageBreak/>
        <w:t xml:space="preserve">Tracking Difference: The tracking difference i.e. the annualized difference of daily returns between the Index and the NAV of the Scheme will be disclosed on the website of the AMC and AMFI, on a monthly basis, for tenures 1 year, </w:t>
      </w:r>
      <w:proofErr w:type="gramStart"/>
      <w:r w:rsidRPr="00BA2938">
        <w:rPr>
          <w:rFonts w:ascii="Titillium Web" w:hAnsi="Titillium Web"/>
          <w:sz w:val="20"/>
          <w:szCs w:val="20"/>
        </w:rPr>
        <w:t>3 year</w:t>
      </w:r>
      <w:proofErr w:type="gramEnd"/>
      <w:r w:rsidRPr="00BA2938">
        <w:rPr>
          <w:rFonts w:ascii="Titillium Web" w:hAnsi="Titillium Web"/>
          <w:sz w:val="20"/>
          <w:szCs w:val="20"/>
        </w:rPr>
        <w:t>, 5 year, 10 year and since the date of allotment of units.</w:t>
      </w:r>
    </w:p>
    <w:p w14:paraId="700B12F0" w14:textId="77777777" w:rsidR="00BA2938" w:rsidRPr="00BA2938" w:rsidRDefault="00BA2938" w:rsidP="00BA2938">
      <w:pPr>
        <w:spacing w:after="0" w:line="240" w:lineRule="auto"/>
        <w:jc w:val="both"/>
        <w:rPr>
          <w:rFonts w:ascii="Titillium Web" w:hAnsi="Titillium Web"/>
          <w:sz w:val="20"/>
          <w:szCs w:val="20"/>
        </w:rPr>
      </w:pPr>
    </w:p>
    <w:p w14:paraId="0000028E" w14:textId="77777777" w:rsidR="00546EC1" w:rsidRPr="00BA2938" w:rsidRDefault="00000000" w:rsidP="00BA2938">
      <w:pPr>
        <w:spacing w:after="0" w:line="240" w:lineRule="auto"/>
        <w:jc w:val="both"/>
        <w:rPr>
          <w:rFonts w:ascii="Titillium Web" w:hAnsi="Titillium Web"/>
          <w:b/>
          <w:sz w:val="20"/>
          <w:szCs w:val="20"/>
          <w:u w:val="single"/>
        </w:rPr>
      </w:pPr>
      <w:r w:rsidRPr="00BA2938">
        <w:rPr>
          <w:rFonts w:ascii="Titillium Web" w:hAnsi="Titillium Web"/>
          <w:b/>
          <w:sz w:val="20"/>
          <w:szCs w:val="20"/>
          <w:u w:val="single"/>
        </w:rPr>
        <w:t>Risks associated with Equity and Equity Related Instruments:</w:t>
      </w:r>
    </w:p>
    <w:p w14:paraId="0000028F"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Equity and Equity Related Instruments by nature are volatile and prone to price fluctuations </w:t>
      </w:r>
      <w:proofErr w:type="gramStart"/>
      <w:r w:rsidRPr="00BA2938">
        <w:rPr>
          <w:rFonts w:ascii="Titillium Web" w:hAnsi="Titillium Web"/>
          <w:sz w:val="20"/>
          <w:szCs w:val="20"/>
        </w:rPr>
        <w:t>on a daily basis</w:t>
      </w:r>
      <w:proofErr w:type="gramEnd"/>
      <w:r w:rsidRPr="00BA2938">
        <w:rPr>
          <w:rFonts w:ascii="Titillium Web" w:hAnsi="Titillium Web"/>
          <w:sz w:val="20"/>
          <w:szCs w:val="20"/>
        </w:rPr>
        <w:t xml:space="preserve"> due to macro and micro economic factors. The value of Equity and Equity Related Instruments may fluctuate due to factors affecting the securities markets such as price volatility, volumes traded, interest rates, currency exchange rates, changes in law/policies of the Government, taxation laws, political, economic or other developments, which may have an adverse impact on individual securities, a specific sector or all sectors. Consequently, the NAV of the Units issued under the Scheme may be adversely affected.</w:t>
      </w:r>
    </w:p>
    <w:p w14:paraId="7F217BF3" w14:textId="77777777" w:rsidR="00BA2938" w:rsidRPr="00BA2938" w:rsidRDefault="00BA2938" w:rsidP="00BA2938">
      <w:pPr>
        <w:spacing w:after="0" w:line="240" w:lineRule="auto"/>
        <w:jc w:val="both"/>
        <w:rPr>
          <w:rFonts w:ascii="Titillium Web" w:hAnsi="Titillium Web"/>
          <w:sz w:val="20"/>
          <w:szCs w:val="20"/>
        </w:rPr>
      </w:pPr>
    </w:p>
    <w:p w14:paraId="00000290"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Equity and Equity Related Instruments listed on the stock exchange carry lower liquidity risk; </w:t>
      </w:r>
      <w:proofErr w:type="gramStart"/>
      <w:r w:rsidRPr="00BA2938">
        <w:rPr>
          <w:rFonts w:ascii="Titillium Web" w:hAnsi="Titillium Web"/>
          <w:sz w:val="20"/>
          <w:szCs w:val="20"/>
        </w:rPr>
        <w:t>however</w:t>
      </w:r>
      <w:proofErr w:type="gramEnd"/>
      <w:r w:rsidRPr="00BA2938">
        <w:rPr>
          <w:rFonts w:ascii="Titillium Web" w:hAnsi="Titillium Web"/>
          <w:sz w:val="20"/>
          <w:szCs w:val="20"/>
        </w:rPr>
        <w:t xml:space="preserve"> the Scheme’s ability to sell these investments is limited by the overall trading volume on the stock exchanges. In certain cases, settlement periods may be extended significantly by unforeseen circumstances. The inability of the Scheme to make intended securities purchases due to settlement problems could cause the Scheme to miss certain investment opportunities. Similarly, the inability to sell securities held in the Scheme’s portfolio may result, at times, in potential losses to the Scheme, if there is a subsequent decline in the value of securities held in the Scheme’s portfolio.</w:t>
      </w:r>
    </w:p>
    <w:p w14:paraId="5411C4EC" w14:textId="77777777" w:rsidR="00BA2938" w:rsidRPr="00BA2938" w:rsidRDefault="00BA2938" w:rsidP="00BA2938">
      <w:pPr>
        <w:spacing w:after="0" w:line="240" w:lineRule="auto"/>
        <w:jc w:val="both"/>
        <w:rPr>
          <w:rFonts w:ascii="Titillium Web" w:hAnsi="Titillium Web"/>
          <w:sz w:val="20"/>
          <w:szCs w:val="20"/>
        </w:rPr>
      </w:pPr>
    </w:p>
    <w:p w14:paraId="00000291"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Investments in equity and equity related instruments involve a degree of risk and investors should not invest in the Scheme unless they can afford to take the risk of losing their investment.</w:t>
      </w:r>
    </w:p>
    <w:p w14:paraId="211DC777" w14:textId="77777777" w:rsidR="00BA2938" w:rsidRPr="00BA2938" w:rsidRDefault="00BA2938" w:rsidP="00BA2938">
      <w:pPr>
        <w:spacing w:after="0" w:line="240" w:lineRule="auto"/>
        <w:jc w:val="both"/>
        <w:rPr>
          <w:rFonts w:ascii="Titillium Web" w:hAnsi="Titillium Web"/>
          <w:sz w:val="20"/>
          <w:szCs w:val="20"/>
        </w:rPr>
      </w:pPr>
    </w:p>
    <w:p w14:paraId="00000292" w14:textId="77777777" w:rsidR="00546EC1" w:rsidRDefault="00000000" w:rsidP="00BA2938">
      <w:pPr>
        <w:spacing w:after="0" w:line="240" w:lineRule="auto"/>
        <w:jc w:val="both"/>
        <w:rPr>
          <w:rFonts w:ascii="Titillium Web" w:hAnsi="Titillium Web"/>
          <w:b/>
          <w:sz w:val="20"/>
          <w:szCs w:val="20"/>
          <w:u w:val="single"/>
        </w:rPr>
      </w:pPr>
      <w:r w:rsidRPr="00BA2938">
        <w:rPr>
          <w:rFonts w:ascii="Titillium Web" w:hAnsi="Titillium Web"/>
          <w:b/>
          <w:sz w:val="20"/>
          <w:szCs w:val="20"/>
          <w:u w:val="single"/>
        </w:rPr>
        <w:t>Risks associated with Fixed Income Securities:</w:t>
      </w:r>
    </w:p>
    <w:p w14:paraId="05E1F125" w14:textId="77777777" w:rsidR="00BA2938" w:rsidRPr="00BA2938" w:rsidRDefault="00BA2938" w:rsidP="00BA2938">
      <w:pPr>
        <w:spacing w:after="0" w:line="240" w:lineRule="auto"/>
        <w:jc w:val="both"/>
        <w:rPr>
          <w:rFonts w:ascii="Titillium Web" w:hAnsi="Titillium Web"/>
          <w:b/>
          <w:sz w:val="20"/>
          <w:szCs w:val="20"/>
          <w:u w:val="single"/>
        </w:rPr>
      </w:pPr>
    </w:p>
    <w:p w14:paraId="00000293"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Interest-Rate Risk</w:t>
      </w:r>
      <w:r w:rsidRPr="00BA2938">
        <w:rPr>
          <w:rFonts w:ascii="Titillium Web" w:hAnsi="Titillium Web"/>
          <w:sz w:val="20"/>
          <w:szCs w:val="20"/>
        </w:rPr>
        <w:t>: Fixed income securities such as government bonds, corporate bonds and Money Market Instruments run price-risk or interest-rate risk. Generally, when interest rates rise, prices of existing fixed income securities fall and when interest rates drop, such prices increase. The extent of fall or rise in the prices depends upon the coupon and maturity of the security. It also depends upon the yield level at which the security is being traded.</w:t>
      </w:r>
    </w:p>
    <w:p w14:paraId="760012CA" w14:textId="77777777" w:rsidR="00BA2938" w:rsidRPr="00BA2938" w:rsidRDefault="00BA2938" w:rsidP="00BA2938">
      <w:pPr>
        <w:spacing w:after="0" w:line="240" w:lineRule="auto"/>
        <w:jc w:val="both"/>
        <w:rPr>
          <w:rFonts w:ascii="Titillium Web" w:hAnsi="Titillium Web"/>
          <w:sz w:val="20"/>
          <w:szCs w:val="20"/>
        </w:rPr>
      </w:pPr>
    </w:p>
    <w:p w14:paraId="00000294"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Re-investment Risk: </w:t>
      </w:r>
      <w:r w:rsidRPr="00BA2938">
        <w:rPr>
          <w:rFonts w:ascii="Titillium Web" w:hAnsi="Titillium Web"/>
          <w:sz w:val="20"/>
          <w:szCs w:val="20"/>
        </w:rPr>
        <w:t>Investments in fixed income securities carry re-investment risk as interest rates prevailing on the coupon payment or maturity dates may differ from the original coupon of the bond.</w:t>
      </w:r>
    </w:p>
    <w:p w14:paraId="61E4CD37" w14:textId="77777777" w:rsidR="00BA2938" w:rsidRPr="00BA2938" w:rsidRDefault="00BA2938" w:rsidP="00BA2938">
      <w:pPr>
        <w:spacing w:after="0" w:line="240" w:lineRule="auto"/>
        <w:jc w:val="both"/>
        <w:rPr>
          <w:rFonts w:ascii="Titillium Web" w:hAnsi="Titillium Web"/>
          <w:sz w:val="20"/>
          <w:szCs w:val="20"/>
        </w:rPr>
      </w:pPr>
    </w:p>
    <w:p w14:paraId="00000295"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Basis Risk</w:t>
      </w:r>
      <w:r w:rsidRPr="00BA2938">
        <w:rPr>
          <w:rFonts w:ascii="Titillium Web" w:hAnsi="Titillium Web"/>
          <w:sz w:val="20"/>
          <w:szCs w:val="20"/>
        </w:rPr>
        <w:t>: The underlying benchmark of a floating rate security or a swap might become less active or may cease to exist and thus may not be able to capture the exact interest rate movements, leading to loss of value of the portfolio.</w:t>
      </w:r>
    </w:p>
    <w:p w14:paraId="4FE14714" w14:textId="77777777" w:rsidR="00BA2938" w:rsidRPr="00BA2938" w:rsidRDefault="00BA2938" w:rsidP="00BA2938">
      <w:pPr>
        <w:spacing w:after="0" w:line="240" w:lineRule="auto"/>
        <w:jc w:val="both"/>
        <w:rPr>
          <w:rFonts w:ascii="Titillium Web" w:hAnsi="Titillium Web"/>
          <w:sz w:val="20"/>
          <w:szCs w:val="20"/>
        </w:rPr>
      </w:pPr>
    </w:p>
    <w:p w14:paraId="00000296"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Spread Risk: </w:t>
      </w:r>
      <w:r w:rsidRPr="00BA2938">
        <w:rPr>
          <w:rFonts w:ascii="Titillium Web" w:hAnsi="Titillium Web"/>
          <w:sz w:val="20"/>
          <w:szCs w:val="20"/>
        </w:rPr>
        <w:t xml:space="preserve">In a floating rate </w:t>
      </w:r>
      <w:proofErr w:type="gramStart"/>
      <w:r w:rsidRPr="00BA2938">
        <w:rPr>
          <w:rFonts w:ascii="Titillium Web" w:hAnsi="Titillium Web"/>
          <w:sz w:val="20"/>
          <w:szCs w:val="20"/>
        </w:rPr>
        <w:t>security</w:t>
      </w:r>
      <w:proofErr w:type="gramEnd"/>
      <w:r w:rsidRPr="00BA2938">
        <w:rPr>
          <w:rFonts w:ascii="Titillium Web" w:hAnsi="Titillium Web"/>
          <w:sz w:val="20"/>
          <w:szCs w:val="20"/>
        </w:rPr>
        <w:t xml:space="preserve"> the coupon is expressed in terms of a spread or mark up over the benchmark rate. In the life of the security this spread may move adversely leading to loss in value of the portfolio. </w:t>
      </w:r>
      <w:r w:rsidRPr="00BA2938">
        <w:rPr>
          <w:rFonts w:ascii="Titillium Web" w:hAnsi="Titillium Web"/>
          <w:sz w:val="20"/>
          <w:szCs w:val="20"/>
        </w:rPr>
        <w:lastRenderedPageBreak/>
        <w:t>The yield of the underlying benchmark might not change, but the spread of the security over the underlying benchmark might increase leading to loss in value of the security.</w:t>
      </w:r>
    </w:p>
    <w:p w14:paraId="4E14DD4E" w14:textId="77777777" w:rsidR="00BA2938" w:rsidRPr="00BA2938" w:rsidRDefault="00BA2938" w:rsidP="00BA2938">
      <w:pPr>
        <w:spacing w:after="0" w:line="240" w:lineRule="auto"/>
        <w:jc w:val="both"/>
        <w:rPr>
          <w:rFonts w:ascii="Titillium Web" w:hAnsi="Titillium Web"/>
          <w:sz w:val="20"/>
          <w:szCs w:val="20"/>
        </w:rPr>
      </w:pPr>
    </w:p>
    <w:p w14:paraId="00000297"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w:t>
      </w:r>
      <w:r w:rsidRPr="00BA2938">
        <w:rPr>
          <w:rFonts w:ascii="Titillium Web" w:hAnsi="Titillium Web"/>
          <w:sz w:val="20"/>
          <w:szCs w:val="20"/>
        </w:rPr>
        <w:t>The liquidity of a bond may change, depending on market conditions leading to changes in the liquidity premium attached to the price of the bond. At the time of selling the security, the security can become illiquid, leading to loss in value of the portfolio.</w:t>
      </w:r>
    </w:p>
    <w:p w14:paraId="315767C3" w14:textId="77777777" w:rsidR="00BA2938" w:rsidRPr="00BA2938" w:rsidRDefault="00BA2938" w:rsidP="00BA2938">
      <w:pPr>
        <w:spacing w:after="0" w:line="240" w:lineRule="auto"/>
        <w:jc w:val="both"/>
        <w:rPr>
          <w:rFonts w:ascii="Titillium Web" w:hAnsi="Titillium Web"/>
          <w:b/>
          <w:sz w:val="20"/>
          <w:szCs w:val="20"/>
        </w:rPr>
      </w:pPr>
    </w:p>
    <w:p w14:paraId="00000298"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Credit Risk: </w:t>
      </w:r>
      <w:r w:rsidRPr="00BA2938">
        <w:rPr>
          <w:rFonts w:ascii="Titillium Web" w:hAnsi="Titillium Web"/>
          <w:sz w:val="20"/>
          <w:szCs w:val="20"/>
        </w:rPr>
        <w:t xml:space="preserve">This is the risk associated with the issuer of a debenture/bond or a Money Market Instrument defaulting on coupon payments or in paying back the principal amount on maturity. Even when there is no default, the price of a security may change with expected changes in the credit rating of the issuer. It is to be noted here that a Government Security is a sovereign security and is the safest. Corporate bonds carry a higher amount of credit risk than Government Securities. Within corporate bonds also there are different levels of </w:t>
      </w:r>
      <w:proofErr w:type="gramStart"/>
      <w:r w:rsidRPr="00BA2938">
        <w:rPr>
          <w:rFonts w:ascii="Titillium Web" w:hAnsi="Titillium Web"/>
          <w:sz w:val="20"/>
          <w:szCs w:val="20"/>
        </w:rPr>
        <w:t>safety</w:t>
      </w:r>
      <w:proofErr w:type="gramEnd"/>
      <w:r w:rsidRPr="00BA2938">
        <w:rPr>
          <w:rFonts w:ascii="Titillium Web" w:hAnsi="Titillium Web"/>
          <w:sz w:val="20"/>
          <w:szCs w:val="20"/>
        </w:rPr>
        <w:t xml:space="preserve"> and a bond rated higher by a particular rating agency is safer than a bond rated lower by the same rating agency.</w:t>
      </w:r>
    </w:p>
    <w:p w14:paraId="51D27B68" w14:textId="77777777" w:rsidR="00BA2938" w:rsidRPr="00BA2938" w:rsidRDefault="00BA2938" w:rsidP="00BA2938">
      <w:pPr>
        <w:spacing w:after="0" w:line="240" w:lineRule="auto"/>
        <w:jc w:val="both"/>
        <w:rPr>
          <w:rFonts w:ascii="Titillium Web" w:hAnsi="Titillium Web"/>
          <w:sz w:val="20"/>
          <w:szCs w:val="20"/>
        </w:rPr>
      </w:pPr>
    </w:p>
    <w:p w14:paraId="00000299"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on account of unlisted securities: </w:t>
      </w:r>
      <w:r w:rsidRPr="00BA2938">
        <w:rPr>
          <w:rFonts w:ascii="Titillium Web" w:hAnsi="Titillium Web"/>
          <w:sz w:val="20"/>
          <w:szCs w:val="20"/>
        </w:rPr>
        <w:t xml:space="preserve">The liquidity and valuation of the Scheme investments due to their holdings of unlisted securities may be affected if they </w:t>
      </w:r>
      <w:proofErr w:type="gramStart"/>
      <w:r w:rsidRPr="00BA2938">
        <w:rPr>
          <w:rFonts w:ascii="Titillium Web" w:hAnsi="Titillium Web"/>
          <w:sz w:val="20"/>
          <w:szCs w:val="20"/>
        </w:rPr>
        <w:t>have to</w:t>
      </w:r>
      <w:proofErr w:type="gramEnd"/>
      <w:r w:rsidRPr="00BA2938">
        <w:rPr>
          <w:rFonts w:ascii="Titillium Web" w:hAnsi="Titillium Web"/>
          <w:sz w:val="20"/>
          <w:szCs w:val="20"/>
        </w:rPr>
        <w:t xml:space="preserve"> be sold prior to their target date of divestment. The unlisted security can go down in value before the divestment date and selling of these securities before the divestment date can lead to losses in the portfolio.</w:t>
      </w:r>
    </w:p>
    <w:p w14:paraId="13DF6418" w14:textId="77777777" w:rsidR="00BA2938" w:rsidRPr="00BA2938" w:rsidRDefault="00BA2938" w:rsidP="00BA2938">
      <w:pPr>
        <w:spacing w:after="0" w:line="240" w:lineRule="auto"/>
        <w:jc w:val="both"/>
        <w:rPr>
          <w:rFonts w:ascii="Titillium Web" w:hAnsi="Titillium Web"/>
          <w:sz w:val="20"/>
          <w:szCs w:val="20"/>
        </w:rPr>
      </w:pPr>
    </w:p>
    <w:p w14:paraId="0000029A"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Settlement Risk: </w:t>
      </w:r>
      <w:r w:rsidRPr="00BA2938">
        <w:rPr>
          <w:rFonts w:ascii="Titillium Web" w:hAnsi="Titillium Web"/>
          <w:sz w:val="20"/>
          <w:szCs w:val="20"/>
        </w:rPr>
        <w:t>Corporate Bond Repo will be settled between two counterparties in the OTC segment unlike in the case of TREPS transactions where CCIL stands as central counterparty on all transactions (no settlement risk). Settlement risk in reverse repo will be mitigated by requiring the counterparty (entity borrowing funds from the Mutual Fund) to deliver the defined collateral in the account of the MF before the cash is lent to the counterparty. Further, the Mutual Fund will also have a limited universe of counterparties comprising of Scheduled Commercial Banks, Primary Dealers, Mutual Funds and National Financial Institutions.</w:t>
      </w:r>
    </w:p>
    <w:p w14:paraId="1B9D0127" w14:textId="77777777" w:rsidR="00BA2938" w:rsidRPr="00BA2938" w:rsidRDefault="00BA2938" w:rsidP="00BA2938">
      <w:pPr>
        <w:spacing w:after="0" w:line="240" w:lineRule="auto"/>
        <w:jc w:val="both"/>
        <w:rPr>
          <w:rFonts w:ascii="Titillium Web" w:hAnsi="Titillium Web"/>
          <w:sz w:val="20"/>
          <w:szCs w:val="20"/>
        </w:rPr>
      </w:pPr>
    </w:p>
    <w:p w14:paraId="0000029B"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Units of the Scheme cannot be assigned/ transferred/pledged/redeemed/switched out until completion of three years from the date of allotment of the respective Units.</w:t>
      </w:r>
    </w:p>
    <w:p w14:paraId="7CFD614B" w14:textId="77777777" w:rsidR="00BA2938" w:rsidRPr="00BA2938" w:rsidRDefault="00BA2938" w:rsidP="00BA2938">
      <w:pPr>
        <w:spacing w:after="0" w:line="240" w:lineRule="auto"/>
        <w:jc w:val="both"/>
        <w:rPr>
          <w:rFonts w:ascii="Titillium Web" w:hAnsi="Titillium Web"/>
          <w:sz w:val="20"/>
          <w:szCs w:val="20"/>
        </w:rPr>
      </w:pPr>
    </w:p>
    <w:p w14:paraId="0000029C" w14:textId="77777777" w:rsidR="00546EC1" w:rsidRPr="00BA2938" w:rsidRDefault="00000000" w:rsidP="00BA2938">
      <w:pPr>
        <w:spacing w:after="0" w:line="240" w:lineRule="auto"/>
        <w:jc w:val="both"/>
        <w:rPr>
          <w:rFonts w:ascii="Titillium Web" w:hAnsi="Titillium Web"/>
          <w:b/>
          <w:sz w:val="20"/>
          <w:szCs w:val="20"/>
          <w:u w:val="single"/>
        </w:rPr>
      </w:pPr>
      <w:r w:rsidRPr="00BA2938">
        <w:rPr>
          <w:rFonts w:ascii="Titillium Web" w:hAnsi="Titillium Web"/>
          <w:b/>
          <w:sz w:val="20"/>
          <w:szCs w:val="20"/>
          <w:u w:val="single"/>
        </w:rPr>
        <w:t xml:space="preserve">Risks associated with Short Selling </w:t>
      </w:r>
    </w:p>
    <w:p w14:paraId="0000029D"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Short selling is the sale of shares or securities that the seller does not own at the time of trading.  Instead, he borrows it from someone who already owns it. Later, the short seller buys back the stock/security he shorted and returns the stock/security to the lender to close out the loan. The inherent risks are Counterparty risk and liquidity risk of the stock/security being borrowed. The security being short sold might be illiquid or become illiquid and covering of the security might occur at a much higher price level than anticipated, leading to losses.</w:t>
      </w:r>
    </w:p>
    <w:p w14:paraId="09196D05" w14:textId="77777777" w:rsidR="00BA2938" w:rsidRPr="00BA2938" w:rsidRDefault="00BA2938" w:rsidP="00BA2938">
      <w:pPr>
        <w:spacing w:after="0" w:line="240" w:lineRule="auto"/>
        <w:jc w:val="both"/>
        <w:rPr>
          <w:rFonts w:ascii="Titillium Web" w:hAnsi="Titillium Web"/>
          <w:sz w:val="20"/>
          <w:szCs w:val="20"/>
        </w:rPr>
      </w:pPr>
    </w:p>
    <w:p w14:paraId="0000029E" w14:textId="77777777" w:rsidR="00546EC1" w:rsidRPr="00BA2938" w:rsidRDefault="00000000" w:rsidP="00BA2938">
      <w:pPr>
        <w:spacing w:after="0" w:line="240" w:lineRule="auto"/>
        <w:jc w:val="both"/>
        <w:rPr>
          <w:rFonts w:ascii="Titillium Web" w:hAnsi="Titillium Web"/>
          <w:b/>
          <w:sz w:val="20"/>
          <w:szCs w:val="20"/>
          <w:u w:val="single"/>
        </w:rPr>
      </w:pPr>
      <w:r w:rsidRPr="00BA2938">
        <w:rPr>
          <w:rFonts w:ascii="Titillium Web" w:hAnsi="Titillium Web"/>
          <w:b/>
          <w:sz w:val="20"/>
          <w:szCs w:val="20"/>
          <w:u w:val="single"/>
        </w:rPr>
        <w:t>Risk factors associated with processing of transactions through Stock Exchange Mechanism</w:t>
      </w:r>
    </w:p>
    <w:p w14:paraId="0000029F"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trading mechanism introduced by the Stock Exchange(s) is configured to accept and process transactions for mutual fund Units in both Physical and Demat Form. The allotment and/or redemption of Units through NSE and/or BSE or any other authorized Stock Exchange(s), on any Business Day will depend upon the modalities of processing viz. collection of application form, order processing /settlement, etc. upon which the Fund has no </w:t>
      </w:r>
      <w:r w:rsidRPr="00BA2938">
        <w:rPr>
          <w:rFonts w:ascii="Titillium Web" w:hAnsi="Titillium Web"/>
          <w:sz w:val="20"/>
          <w:szCs w:val="20"/>
        </w:rPr>
        <w:lastRenderedPageBreak/>
        <w:t>control. Moreover, transactions conducted through the Stock Exchange mechanism shall be governed by the operating guidelines and directives issued by respective recognized Stock Exchange(s).</w:t>
      </w:r>
    </w:p>
    <w:p w14:paraId="2E6D8909" w14:textId="77777777" w:rsidR="00BA2938" w:rsidRPr="00BA2938" w:rsidRDefault="00BA2938" w:rsidP="00BA2938">
      <w:pPr>
        <w:spacing w:after="0" w:line="240" w:lineRule="auto"/>
        <w:jc w:val="both"/>
        <w:rPr>
          <w:rFonts w:ascii="Titillium Web" w:hAnsi="Titillium Web"/>
          <w:sz w:val="20"/>
          <w:szCs w:val="20"/>
        </w:rPr>
      </w:pPr>
    </w:p>
    <w:p w14:paraId="000002A0" w14:textId="77777777" w:rsidR="00546EC1" w:rsidRPr="00BA2938" w:rsidRDefault="00000000" w:rsidP="00BA2938">
      <w:pPr>
        <w:spacing w:after="0" w:line="240" w:lineRule="auto"/>
        <w:jc w:val="both"/>
        <w:rPr>
          <w:rFonts w:ascii="Titillium Web" w:hAnsi="Titillium Web"/>
          <w:b/>
          <w:sz w:val="20"/>
          <w:szCs w:val="20"/>
          <w:u w:val="single"/>
        </w:rPr>
      </w:pPr>
      <w:r w:rsidRPr="00BA2938">
        <w:rPr>
          <w:rFonts w:ascii="Titillium Web" w:hAnsi="Titillium Web"/>
          <w:b/>
          <w:sz w:val="20"/>
          <w:szCs w:val="20"/>
          <w:u w:val="single"/>
        </w:rPr>
        <w:t>Risk factors related to Navi ELSS Tax Saver Nifty 50 Index Fund</w:t>
      </w:r>
    </w:p>
    <w:p w14:paraId="000002A1"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In line with the provisions stipulated under the ELSS scheme, 2005, units issued under the Scheme will not be redeemed until the completion of 3 (three) years from the date of allotment of units. The ability of an investor to realize returns on investments in the Scheme will consequently be restricted for the first 3 (three) years. Redemption can be made prior to the expiry of the aforesaid 3 (three) </w:t>
      </w:r>
      <w:proofErr w:type="spellStart"/>
      <w:r w:rsidRPr="00BA2938">
        <w:rPr>
          <w:rFonts w:ascii="Titillium Web" w:hAnsi="Titillium Web"/>
          <w:sz w:val="20"/>
          <w:szCs w:val="20"/>
        </w:rPr>
        <w:t>years</w:t>
      </w:r>
      <w:proofErr w:type="spellEnd"/>
      <w:r w:rsidRPr="00BA2938">
        <w:rPr>
          <w:rFonts w:ascii="Titillium Web" w:hAnsi="Titillium Web"/>
          <w:sz w:val="20"/>
          <w:szCs w:val="20"/>
        </w:rPr>
        <w:t xml:space="preserve"> period only in the event of the death of a Unit Holder, subject to the Units having been held for a period of 1 (one) year from the date of their allotment.</w:t>
      </w:r>
    </w:p>
    <w:p w14:paraId="7728E3EC" w14:textId="77777777" w:rsidR="00BA2938" w:rsidRPr="00BA2938" w:rsidRDefault="00BA2938" w:rsidP="00BA2938">
      <w:pPr>
        <w:spacing w:after="0" w:line="240" w:lineRule="auto"/>
        <w:jc w:val="both"/>
        <w:rPr>
          <w:rFonts w:ascii="Titillium Web" w:hAnsi="Titillium Web"/>
          <w:sz w:val="20"/>
          <w:szCs w:val="20"/>
        </w:rPr>
      </w:pPr>
    </w:p>
    <w:p w14:paraId="130B2631" w14:textId="76BCD409" w:rsidR="00BA2938" w:rsidRPr="00BA2938" w:rsidRDefault="00000000" w:rsidP="00BA2938">
      <w:pPr>
        <w:spacing w:after="0" w:line="240" w:lineRule="auto"/>
        <w:jc w:val="both"/>
        <w:rPr>
          <w:rFonts w:ascii="Titillium Web" w:hAnsi="Titillium Web"/>
          <w:b/>
          <w:sz w:val="20"/>
          <w:szCs w:val="20"/>
          <w:u w:val="single"/>
        </w:rPr>
      </w:pPr>
      <w:r w:rsidRPr="00BA2938">
        <w:rPr>
          <w:rFonts w:ascii="Titillium Web" w:hAnsi="Titillium Web"/>
          <w:b/>
          <w:sz w:val="20"/>
          <w:szCs w:val="20"/>
          <w:u w:val="single"/>
        </w:rPr>
        <w:t>Risks associated with segregated portfolio:</w:t>
      </w:r>
    </w:p>
    <w:p w14:paraId="000002A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unit holders may note that no redemption and subscription shall be allowed in the segregated portfolio. However, </w:t>
      </w:r>
      <w:proofErr w:type="gramStart"/>
      <w:r w:rsidRPr="00BA2938">
        <w:rPr>
          <w:rFonts w:ascii="Titillium Web" w:hAnsi="Titillium Web"/>
          <w:sz w:val="20"/>
          <w:szCs w:val="20"/>
        </w:rPr>
        <w:t>in order to</w:t>
      </w:r>
      <w:proofErr w:type="gramEnd"/>
      <w:r w:rsidRPr="00BA2938">
        <w:rPr>
          <w:rFonts w:ascii="Titillium Web" w:hAnsi="Titillium Web"/>
          <w:sz w:val="20"/>
          <w:szCs w:val="20"/>
        </w:rPr>
        <w:t xml:space="preserve"> facilitate exit to unit holders in the segregated portfolio, the AMC shall enable listing of units of segregated portfolio on the recognized stock exchange.</w:t>
      </w:r>
    </w:p>
    <w:p w14:paraId="000002A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risks associated </w:t>
      </w:r>
      <w:proofErr w:type="gramStart"/>
      <w:r w:rsidRPr="00BA2938">
        <w:rPr>
          <w:rFonts w:ascii="Titillium Web" w:hAnsi="Titillium Web"/>
          <w:sz w:val="20"/>
          <w:szCs w:val="20"/>
        </w:rPr>
        <w:t>in regard to</w:t>
      </w:r>
      <w:proofErr w:type="gramEnd"/>
      <w:r w:rsidRPr="00BA2938">
        <w:rPr>
          <w:rFonts w:ascii="Titillium Web" w:hAnsi="Titillium Web"/>
          <w:sz w:val="20"/>
          <w:szCs w:val="20"/>
        </w:rPr>
        <w:t xml:space="preserve"> the segregated portfolio are as follows:</w:t>
      </w:r>
    </w:p>
    <w:p w14:paraId="000002A5" w14:textId="77777777" w:rsidR="00546EC1" w:rsidRPr="00BA2938" w:rsidRDefault="00000000" w:rsidP="00BA2938">
      <w:pPr>
        <w:numPr>
          <w:ilvl w:val="0"/>
          <w:numId w:val="4"/>
        </w:numPr>
        <w:pBdr>
          <w:top w:val="nil"/>
          <w:left w:val="nil"/>
          <w:bottom w:val="nil"/>
          <w:right w:val="nil"/>
          <w:between w:val="nil"/>
        </w:pBdr>
        <w:spacing w:after="0" w:line="240" w:lineRule="auto"/>
        <w:ind w:left="450" w:hanging="450"/>
        <w:jc w:val="both"/>
        <w:rPr>
          <w:rFonts w:ascii="Titillium Web" w:hAnsi="Titillium Web"/>
          <w:sz w:val="20"/>
          <w:szCs w:val="20"/>
        </w:rPr>
      </w:pPr>
      <w:r w:rsidRPr="00BA2938">
        <w:rPr>
          <w:rFonts w:ascii="Titillium Web" w:hAnsi="Titillium Web"/>
          <w:sz w:val="20"/>
          <w:szCs w:val="20"/>
        </w:rPr>
        <w:t xml:space="preserve">The investors holding units of the segregated portfolio may not be able to liquidate their holdings till the time of recovery of money from the issuer. </w:t>
      </w:r>
    </w:p>
    <w:p w14:paraId="000002A6" w14:textId="77777777" w:rsidR="00546EC1" w:rsidRPr="00BA2938" w:rsidRDefault="00000000" w:rsidP="00BA2938">
      <w:pPr>
        <w:numPr>
          <w:ilvl w:val="0"/>
          <w:numId w:val="4"/>
        </w:numPr>
        <w:pBdr>
          <w:top w:val="nil"/>
          <w:left w:val="nil"/>
          <w:bottom w:val="nil"/>
          <w:right w:val="nil"/>
          <w:between w:val="nil"/>
        </w:pBdr>
        <w:spacing w:after="0" w:line="240" w:lineRule="auto"/>
        <w:ind w:left="450" w:hanging="450"/>
        <w:jc w:val="both"/>
        <w:rPr>
          <w:rFonts w:ascii="Titillium Web" w:hAnsi="Titillium Web"/>
          <w:sz w:val="20"/>
          <w:szCs w:val="20"/>
        </w:rPr>
      </w:pPr>
      <w:r w:rsidRPr="00BA2938">
        <w:rPr>
          <w:rFonts w:ascii="Titillium Web" w:hAnsi="Titillium Web"/>
          <w:sz w:val="20"/>
          <w:szCs w:val="20"/>
        </w:rPr>
        <w:t xml:space="preserve">The security comprising the segregated portfolio may not realize any value. </w:t>
      </w:r>
    </w:p>
    <w:p w14:paraId="000002A7" w14:textId="77777777" w:rsidR="00546EC1" w:rsidRPr="00BA2938" w:rsidRDefault="00000000" w:rsidP="00BA2938">
      <w:pPr>
        <w:numPr>
          <w:ilvl w:val="0"/>
          <w:numId w:val="4"/>
        </w:numPr>
        <w:pBdr>
          <w:top w:val="nil"/>
          <w:left w:val="nil"/>
          <w:bottom w:val="nil"/>
          <w:right w:val="nil"/>
          <w:between w:val="nil"/>
        </w:pBdr>
        <w:spacing w:after="0" w:line="240" w:lineRule="auto"/>
        <w:ind w:left="450" w:hanging="450"/>
        <w:jc w:val="both"/>
        <w:rPr>
          <w:rFonts w:ascii="Titillium Web" w:hAnsi="Titillium Web"/>
          <w:sz w:val="20"/>
          <w:szCs w:val="20"/>
        </w:rPr>
      </w:pPr>
      <w:r w:rsidRPr="00BA2938">
        <w:rPr>
          <w:rFonts w:ascii="Titillium Web" w:hAnsi="Titillium Web"/>
          <w:sz w:val="20"/>
          <w:szCs w:val="20"/>
        </w:rPr>
        <w:t xml:space="preserve">Listing units of the segregated portfolio on a recognized stock exchange does not necessarily guarantee their liquidity. There may not be active trading of units of the segregated portfolio on the stock exchange. </w:t>
      </w:r>
    </w:p>
    <w:p w14:paraId="000002A8" w14:textId="77777777" w:rsidR="00546EC1" w:rsidRPr="00BA2938" w:rsidRDefault="00000000" w:rsidP="00BA2938">
      <w:pPr>
        <w:numPr>
          <w:ilvl w:val="0"/>
          <w:numId w:val="4"/>
        </w:numPr>
        <w:pBdr>
          <w:top w:val="nil"/>
          <w:left w:val="nil"/>
          <w:bottom w:val="nil"/>
          <w:right w:val="nil"/>
          <w:between w:val="nil"/>
        </w:pBdr>
        <w:spacing w:after="0" w:line="240" w:lineRule="auto"/>
        <w:ind w:left="450" w:hanging="450"/>
        <w:jc w:val="both"/>
        <w:rPr>
          <w:rFonts w:ascii="Titillium Web" w:hAnsi="Titillium Web"/>
          <w:sz w:val="20"/>
          <w:szCs w:val="20"/>
        </w:rPr>
      </w:pPr>
      <w:r w:rsidRPr="00BA2938">
        <w:rPr>
          <w:rFonts w:ascii="Titillium Web" w:hAnsi="Titillium Web"/>
          <w:sz w:val="20"/>
          <w:szCs w:val="20"/>
        </w:rPr>
        <w:t>The trading price of units on the stock exchange may be significantly lower than the prevailing Net Asset Value (NAV) of the segregated portfolio.</w:t>
      </w:r>
    </w:p>
    <w:p w14:paraId="000002A9" w14:textId="77777777" w:rsidR="00546EC1" w:rsidRPr="00BA2938" w:rsidRDefault="00546EC1" w:rsidP="00BA2938">
      <w:pPr>
        <w:pBdr>
          <w:top w:val="nil"/>
          <w:left w:val="nil"/>
          <w:bottom w:val="nil"/>
          <w:right w:val="nil"/>
          <w:between w:val="nil"/>
        </w:pBdr>
        <w:spacing w:after="0" w:line="240" w:lineRule="auto"/>
        <w:ind w:left="450"/>
        <w:jc w:val="both"/>
        <w:rPr>
          <w:rFonts w:ascii="Titillium Web" w:hAnsi="Titillium Web"/>
          <w:sz w:val="20"/>
          <w:szCs w:val="20"/>
        </w:rPr>
      </w:pPr>
    </w:p>
    <w:p w14:paraId="000002AA" w14:textId="77777777" w:rsidR="00546EC1" w:rsidRPr="00BA2938" w:rsidRDefault="00000000" w:rsidP="00BA2938">
      <w:pPr>
        <w:spacing w:after="0" w:line="240" w:lineRule="auto"/>
        <w:jc w:val="both"/>
        <w:rPr>
          <w:rFonts w:ascii="Titillium Web" w:hAnsi="Titillium Web"/>
          <w:b/>
          <w:sz w:val="20"/>
          <w:szCs w:val="20"/>
          <w:u w:val="single"/>
        </w:rPr>
      </w:pPr>
      <w:r w:rsidRPr="00BA2938">
        <w:rPr>
          <w:rFonts w:ascii="Titillium Web" w:hAnsi="Titillium Web"/>
          <w:b/>
          <w:sz w:val="20"/>
          <w:szCs w:val="20"/>
          <w:u w:val="single"/>
        </w:rPr>
        <w:t>Risk associated with Short Selling &amp; Securities Lending</w:t>
      </w:r>
    </w:p>
    <w:p w14:paraId="000002AB"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Securities Lending is a lending of securities through an approved intermediary to a borrower under an agreement for a specified period with the condition that the borrower will return equivalent securities of the same type or class at the end of the specified period along with the corporate benefits accruing on the securities borrowed. There are risks inherent in securities lending, including the risk of failure of the other party, in this case the approved intermediary to comply with the terms of the agreement. Such failure can result in a possible loss of rights to the collateral, the inability of the approved intermediary to return the securities deposited by the lender and the possible loss of corporate benefits accruing thereon.</w:t>
      </w:r>
    </w:p>
    <w:p w14:paraId="5D12D691" w14:textId="77777777" w:rsidR="00BA2938" w:rsidRPr="00BA2938" w:rsidRDefault="00BA2938" w:rsidP="00BA2938">
      <w:pPr>
        <w:spacing w:after="0" w:line="240" w:lineRule="auto"/>
        <w:jc w:val="both"/>
        <w:rPr>
          <w:rFonts w:ascii="Titillium Web" w:hAnsi="Titillium Web"/>
          <w:sz w:val="20"/>
          <w:szCs w:val="20"/>
        </w:rPr>
      </w:pPr>
    </w:p>
    <w:p w14:paraId="000002A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AMC shall adhere to the following limits should it engage in Stock Lending: </w:t>
      </w:r>
    </w:p>
    <w:p w14:paraId="000002A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1. Not more than 20% of the net assets of a Scheme can generally be deployed in Stock Lending. </w:t>
      </w:r>
    </w:p>
    <w:p w14:paraId="000002AE"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2. Not more than 5% of the net assets of a Scheme can generally be deployed in Stock Lending to any single approved intermediary / counterparty</w:t>
      </w:r>
    </w:p>
    <w:p w14:paraId="4233584D" w14:textId="77777777" w:rsidR="00BA2938" w:rsidRPr="00BA2938" w:rsidRDefault="00BA2938" w:rsidP="00BA2938">
      <w:pPr>
        <w:spacing w:after="0" w:line="240" w:lineRule="auto"/>
        <w:jc w:val="both"/>
        <w:rPr>
          <w:rFonts w:ascii="Titillium Web" w:hAnsi="Titillium Web"/>
          <w:sz w:val="20"/>
          <w:szCs w:val="20"/>
        </w:rPr>
      </w:pPr>
    </w:p>
    <w:p w14:paraId="000002AF"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Short selling is the sale of shares or securities that the seller does not own at the time of trading.  Instead, he borrows it from someone who already owns it. Later, the short seller buys back the stock/security he shorted and returns the stock/security to the lender to close out the loan. The inherent risks are Counterparty risk and </w:t>
      </w:r>
      <w:r w:rsidRPr="00BA2938">
        <w:rPr>
          <w:rFonts w:ascii="Titillium Web" w:hAnsi="Titillium Web"/>
          <w:sz w:val="20"/>
          <w:szCs w:val="20"/>
        </w:rPr>
        <w:lastRenderedPageBreak/>
        <w:t>liquidity risk of the stock/security being borrowed. The security being short sold might be illiquid or become illiquid and covering of the security might occur at a much higher price level than anticipated, leading to losses.</w:t>
      </w:r>
    </w:p>
    <w:p w14:paraId="1C04EC1C" w14:textId="77777777" w:rsidR="00BA2938" w:rsidRPr="00BA2938" w:rsidRDefault="00BA2938" w:rsidP="00BA2938">
      <w:pPr>
        <w:spacing w:after="0" w:line="240" w:lineRule="auto"/>
        <w:jc w:val="both"/>
        <w:rPr>
          <w:rFonts w:ascii="Titillium Web" w:hAnsi="Titillium Web"/>
          <w:sz w:val="20"/>
          <w:szCs w:val="20"/>
        </w:rPr>
      </w:pPr>
    </w:p>
    <w:p w14:paraId="000002B0" w14:textId="77777777" w:rsidR="00546EC1" w:rsidRPr="00BA2938" w:rsidRDefault="00000000" w:rsidP="00BA2938">
      <w:pPr>
        <w:pStyle w:val="Heading2"/>
        <w:spacing w:before="0" w:line="240" w:lineRule="auto"/>
        <w:jc w:val="both"/>
        <w:rPr>
          <w:rFonts w:ascii="Titillium Web" w:eastAsia="Calibri" w:hAnsi="Titillium Web" w:cs="Calibri"/>
          <w:b/>
          <w:color w:val="000000"/>
          <w:sz w:val="20"/>
          <w:szCs w:val="20"/>
        </w:rPr>
      </w:pPr>
      <w:bookmarkStart w:id="13" w:name="_heading=h.hlx4gjfb7t9c" w:colFirst="0" w:colLast="0"/>
      <w:bookmarkEnd w:id="13"/>
      <w:r w:rsidRPr="00BA2938">
        <w:rPr>
          <w:rFonts w:ascii="Titillium Web" w:eastAsia="Calibri" w:hAnsi="Titillium Web" w:cs="Calibri"/>
          <w:b/>
          <w:color w:val="000000"/>
          <w:sz w:val="20"/>
          <w:szCs w:val="20"/>
        </w:rPr>
        <w:t xml:space="preserve">RISK MITIGATION STRATEGIES </w:t>
      </w:r>
    </w:p>
    <w:p w14:paraId="000002B1"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aims to track Nifty 50 Index before expenses. The Index is tracked on a regular basis and changes to the constituents or their weights, if any, are replicated in the Underlying Portfolio with the purpose of minimizing tracking error.</w:t>
      </w:r>
    </w:p>
    <w:p w14:paraId="27B0D6DE" w14:textId="77777777" w:rsidR="00BA2938" w:rsidRPr="00BA2938" w:rsidRDefault="00BA2938" w:rsidP="00BA2938">
      <w:pPr>
        <w:spacing w:after="0" w:line="240" w:lineRule="auto"/>
        <w:jc w:val="both"/>
        <w:rPr>
          <w:rFonts w:ascii="Titillium Web" w:hAnsi="Titillium Web"/>
          <w:b/>
          <w:sz w:val="20"/>
          <w:szCs w:val="20"/>
        </w:rPr>
      </w:pPr>
    </w:p>
    <w:p w14:paraId="3286F77A" w14:textId="77777777" w:rsid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AMC has necessary framework in place for risk mitigation at an enterprise level. The Risk Management division is an independent division within the organization. Internal limits are defined and judiciously monitored. Risk indicators on various parameters are computed and are monitored on a regular basis. There is a Board level Committee, the Risk Management Committee of the Board, which enables a dedicated focus on risk factors and the relevant risk mitigants.</w:t>
      </w:r>
    </w:p>
    <w:p w14:paraId="000002B2" w14:textId="462FCAE1"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ab/>
      </w:r>
    </w:p>
    <w:p w14:paraId="000002B3" w14:textId="77777777" w:rsidR="00546EC1"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fund will endeavour to manage the various risks associated with investing in equity and equity related instruments. Risk is expected to be reduced through diversification of portfolio across various sectors and market capitalizations. The various types of risks </w:t>
      </w:r>
      <w:proofErr w:type="gramStart"/>
      <w:r w:rsidRPr="00BA2938">
        <w:rPr>
          <w:rFonts w:ascii="Titillium Web" w:hAnsi="Titillium Web"/>
          <w:sz w:val="20"/>
          <w:szCs w:val="20"/>
        </w:rPr>
        <w:t>identified</w:t>
      </w:r>
      <w:proofErr w:type="gramEnd"/>
      <w:r w:rsidRPr="00BA2938">
        <w:rPr>
          <w:rFonts w:ascii="Titillium Web" w:hAnsi="Titillium Web"/>
          <w:sz w:val="20"/>
          <w:szCs w:val="20"/>
        </w:rPr>
        <w:t xml:space="preserve"> and their risk management strategies are as follows:</w:t>
      </w:r>
    </w:p>
    <w:p w14:paraId="29579265" w14:textId="77777777" w:rsidR="00BA2938" w:rsidRPr="00BA2938" w:rsidRDefault="00BA2938" w:rsidP="00BA2938">
      <w:pPr>
        <w:spacing w:after="0" w:line="240" w:lineRule="auto"/>
        <w:jc w:val="both"/>
        <w:rPr>
          <w:rFonts w:ascii="Titillium Web" w:hAnsi="Titillium Web"/>
          <w:sz w:val="20"/>
          <w:szCs w:val="20"/>
        </w:rPr>
      </w:pPr>
    </w:p>
    <w:tbl>
      <w:tblPr>
        <w:tblStyle w:val="a3"/>
        <w:tblW w:w="9375" w:type="dxa"/>
        <w:tblInd w:w="-21" w:type="dxa"/>
        <w:tblLayout w:type="fixed"/>
        <w:tblLook w:val="0400" w:firstRow="0" w:lastRow="0" w:firstColumn="0" w:lastColumn="0" w:noHBand="0" w:noVBand="1"/>
      </w:tblPr>
      <w:tblGrid>
        <w:gridCol w:w="3885"/>
        <w:gridCol w:w="5490"/>
      </w:tblGrid>
      <w:tr w:rsidR="00546EC1" w:rsidRPr="00BA2938" w14:paraId="4FFDC40D" w14:textId="77777777">
        <w:trPr>
          <w:trHeight w:val="345"/>
        </w:trPr>
        <w:tc>
          <w:tcPr>
            <w:tcW w:w="3885" w:type="dxa"/>
            <w:tcBorders>
              <w:top w:val="single" w:sz="8" w:space="0" w:color="000000"/>
              <w:left w:val="single" w:sz="8" w:space="0" w:color="000000"/>
              <w:bottom w:val="single" w:sz="8" w:space="0" w:color="000000"/>
              <w:right w:val="single" w:sz="8" w:space="0" w:color="000000"/>
            </w:tcBorders>
            <w:shd w:val="clear" w:color="auto" w:fill="FFFFFF"/>
          </w:tcPr>
          <w:p w14:paraId="000002B4"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 Type</w:t>
            </w:r>
          </w:p>
        </w:tc>
        <w:tc>
          <w:tcPr>
            <w:tcW w:w="5490" w:type="dxa"/>
            <w:tcBorders>
              <w:top w:val="single" w:sz="8" w:space="0" w:color="000000"/>
              <w:left w:val="nil"/>
              <w:bottom w:val="single" w:sz="8" w:space="0" w:color="000000"/>
              <w:right w:val="single" w:sz="8" w:space="0" w:color="000000"/>
            </w:tcBorders>
            <w:shd w:val="clear" w:color="auto" w:fill="FFFFFF"/>
          </w:tcPr>
          <w:p w14:paraId="000002B5"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 Management Strategy</w:t>
            </w:r>
          </w:p>
        </w:tc>
      </w:tr>
      <w:tr w:rsidR="00546EC1" w:rsidRPr="00BA2938" w14:paraId="55570834" w14:textId="77777777">
        <w:trPr>
          <w:trHeight w:val="975"/>
        </w:trPr>
        <w:tc>
          <w:tcPr>
            <w:tcW w:w="3885" w:type="dxa"/>
            <w:tcBorders>
              <w:top w:val="single" w:sz="8" w:space="0" w:color="000000"/>
              <w:left w:val="single" w:sz="8" w:space="0" w:color="000000"/>
              <w:bottom w:val="single" w:sz="8" w:space="0" w:color="000000"/>
              <w:right w:val="single" w:sz="8" w:space="0" w:color="000000"/>
            </w:tcBorders>
            <w:shd w:val="clear" w:color="auto" w:fill="FFFFFF"/>
          </w:tcPr>
          <w:p w14:paraId="000002B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u w:val="single"/>
              </w:rPr>
              <w:t>Quality Risk:</w:t>
            </w:r>
            <w:r w:rsidRPr="00BA2938">
              <w:rPr>
                <w:rFonts w:ascii="Titillium Web" w:hAnsi="Titillium Web"/>
                <w:sz w:val="20"/>
                <w:szCs w:val="20"/>
              </w:rPr>
              <w:t xml:space="preserve"> Risk of investing in unsustainable / weak companies</w:t>
            </w:r>
          </w:p>
        </w:tc>
        <w:tc>
          <w:tcPr>
            <w:tcW w:w="5490" w:type="dxa"/>
            <w:tcBorders>
              <w:top w:val="single" w:sz="8" w:space="0" w:color="000000"/>
              <w:left w:val="nil"/>
              <w:bottom w:val="single" w:sz="8" w:space="0" w:color="000000"/>
              <w:right w:val="single" w:sz="8" w:space="0" w:color="000000"/>
            </w:tcBorders>
            <w:shd w:val="clear" w:color="auto" w:fill="FFFFFF"/>
          </w:tcPr>
          <w:p w14:paraId="000002B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Investment Universe consists of constituents of the Nifty 50 Index. These are typically the largest and most liquid companies in the country which mitigates the quality risk.      </w:t>
            </w:r>
          </w:p>
        </w:tc>
      </w:tr>
      <w:tr w:rsidR="00546EC1" w:rsidRPr="00BA2938" w14:paraId="06E298CC" w14:textId="77777777">
        <w:trPr>
          <w:trHeight w:val="660"/>
        </w:trPr>
        <w:tc>
          <w:tcPr>
            <w:tcW w:w="3885" w:type="dxa"/>
            <w:tcBorders>
              <w:top w:val="single" w:sz="8" w:space="0" w:color="000000"/>
              <w:left w:val="single" w:sz="8" w:space="0" w:color="000000"/>
              <w:bottom w:val="single" w:sz="8" w:space="0" w:color="000000"/>
              <w:right w:val="single" w:sz="8" w:space="0" w:color="000000"/>
            </w:tcBorders>
            <w:shd w:val="clear" w:color="auto" w:fill="FFFFFF"/>
          </w:tcPr>
          <w:p w14:paraId="000002B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u w:val="single"/>
              </w:rPr>
              <w:t>Liquidity Risk:</w:t>
            </w:r>
            <w:r w:rsidRPr="00BA2938">
              <w:rPr>
                <w:rFonts w:ascii="Titillium Web" w:hAnsi="Titillium Web"/>
                <w:sz w:val="20"/>
                <w:szCs w:val="20"/>
              </w:rPr>
              <w:t xml:space="preserve"> High Impact Costs</w:t>
            </w:r>
          </w:p>
        </w:tc>
        <w:tc>
          <w:tcPr>
            <w:tcW w:w="5490" w:type="dxa"/>
            <w:tcBorders>
              <w:top w:val="single" w:sz="8" w:space="0" w:color="000000"/>
              <w:left w:val="nil"/>
              <w:bottom w:val="single" w:sz="8" w:space="0" w:color="000000"/>
              <w:right w:val="single" w:sz="8" w:space="0" w:color="000000"/>
            </w:tcBorders>
            <w:shd w:val="clear" w:color="auto" w:fill="FFFFFF"/>
          </w:tcPr>
          <w:p w14:paraId="000002B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To control liquidity at the portfolio construction stage. Stocks in the Underlying Index are selected by applying liquidity as one of the criterions and hence the portfolio of Nifty 50 Index is reasonably liquid. </w:t>
            </w:r>
          </w:p>
        </w:tc>
      </w:tr>
      <w:tr w:rsidR="00546EC1" w:rsidRPr="00BA2938" w14:paraId="3E0C7EC9" w14:textId="77777777">
        <w:trPr>
          <w:trHeight w:val="975"/>
        </w:trPr>
        <w:tc>
          <w:tcPr>
            <w:tcW w:w="3885" w:type="dxa"/>
            <w:tcBorders>
              <w:top w:val="single" w:sz="8" w:space="0" w:color="000000"/>
              <w:left w:val="single" w:sz="8" w:space="0" w:color="000000"/>
              <w:bottom w:val="single" w:sz="8" w:space="0" w:color="000000"/>
              <w:right w:val="single" w:sz="8" w:space="0" w:color="000000"/>
            </w:tcBorders>
            <w:shd w:val="clear" w:color="auto" w:fill="FFFFFF"/>
          </w:tcPr>
          <w:p w14:paraId="000002B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u w:val="single"/>
              </w:rPr>
              <w:t>Volatility Risk:</w:t>
            </w:r>
            <w:r w:rsidRPr="00BA2938">
              <w:rPr>
                <w:rFonts w:ascii="Titillium Web" w:hAnsi="Titillium Web"/>
                <w:sz w:val="20"/>
                <w:szCs w:val="20"/>
              </w:rPr>
              <w:t xml:space="preserve"> Price Volatility due to company or portfolio specific factors</w:t>
            </w:r>
          </w:p>
        </w:tc>
        <w:tc>
          <w:tcPr>
            <w:tcW w:w="5490" w:type="dxa"/>
            <w:tcBorders>
              <w:top w:val="single" w:sz="8" w:space="0" w:color="000000"/>
              <w:left w:val="nil"/>
              <w:bottom w:val="single" w:sz="8" w:space="0" w:color="000000"/>
              <w:right w:val="single" w:sz="8" w:space="0" w:color="000000"/>
            </w:tcBorders>
            <w:shd w:val="clear" w:color="auto" w:fill="FFFFFF"/>
          </w:tcPr>
          <w:p w14:paraId="000002B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To monitor overall portfolio volatility and control risk - stock / sector exposures as required. The scheme will manage volatility risk through diversification. </w:t>
            </w:r>
          </w:p>
        </w:tc>
      </w:tr>
    </w:tbl>
    <w:p w14:paraId="000002BC" w14:textId="77777777" w:rsidR="00546EC1" w:rsidRPr="00BA2938" w:rsidRDefault="00546EC1" w:rsidP="00BA2938">
      <w:pPr>
        <w:spacing w:after="0" w:line="240" w:lineRule="auto"/>
        <w:jc w:val="both"/>
        <w:rPr>
          <w:rFonts w:ascii="Titillium Web" w:hAnsi="Titillium Web"/>
          <w:sz w:val="20"/>
          <w:szCs w:val="20"/>
        </w:rPr>
      </w:pPr>
    </w:p>
    <w:p w14:paraId="363343AB" w14:textId="77777777" w:rsidR="00560977" w:rsidRDefault="00560977">
      <w:pPr>
        <w:rPr>
          <w:rFonts w:ascii="Titillium Web" w:hAnsi="Titillium Web"/>
          <w:b/>
          <w:color w:val="000000"/>
          <w:sz w:val="20"/>
          <w:szCs w:val="20"/>
        </w:rPr>
      </w:pPr>
      <w:bookmarkStart w:id="14" w:name="_heading=h.gn52ji1nn382" w:colFirst="0" w:colLast="0"/>
      <w:bookmarkEnd w:id="14"/>
      <w:r>
        <w:rPr>
          <w:rFonts w:ascii="Titillium Web" w:hAnsi="Titillium Web"/>
          <w:b/>
          <w:color w:val="000000"/>
          <w:sz w:val="20"/>
          <w:szCs w:val="20"/>
        </w:rPr>
        <w:br w:type="page"/>
      </w:r>
    </w:p>
    <w:p w14:paraId="000002BD" w14:textId="64734BE4" w:rsidR="00546EC1" w:rsidRDefault="00000000" w:rsidP="00FA14F4">
      <w:pPr>
        <w:pStyle w:val="Heading1"/>
        <w:spacing w:before="0" w:line="240" w:lineRule="auto"/>
        <w:jc w:val="center"/>
        <w:rPr>
          <w:rFonts w:ascii="Titillium Web" w:eastAsia="Calibri" w:hAnsi="Titillium Web" w:cs="Calibri"/>
          <w:b/>
          <w:color w:val="000000"/>
          <w:sz w:val="28"/>
          <w:szCs w:val="28"/>
        </w:rPr>
      </w:pPr>
      <w:r w:rsidRPr="00560977">
        <w:rPr>
          <w:rFonts w:ascii="Titillium Web" w:eastAsia="Calibri" w:hAnsi="Titillium Web" w:cs="Calibri"/>
          <w:b/>
          <w:color w:val="000000"/>
          <w:sz w:val="28"/>
          <w:szCs w:val="28"/>
        </w:rPr>
        <w:lastRenderedPageBreak/>
        <w:t>Navi BSE Sensex Index Fund</w:t>
      </w:r>
    </w:p>
    <w:p w14:paraId="109EED24" w14:textId="77777777" w:rsidR="00560977" w:rsidRPr="00560977" w:rsidRDefault="00560977" w:rsidP="00560977"/>
    <w:p w14:paraId="000002BE"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Scheme Specific Risk Factors</w:t>
      </w:r>
    </w:p>
    <w:p w14:paraId="000002BF" w14:textId="77777777" w:rsidR="00546EC1" w:rsidRPr="00BA2938" w:rsidRDefault="00546EC1" w:rsidP="00BA2938">
      <w:pPr>
        <w:spacing w:after="0" w:line="240" w:lineRule="auto"/>
        <w:jc w:val="both"/>
        <w:rPr>
          <w:rFonts w:ascii="Titillium Web" w:hAnsi="Titillium Web"/>
          <w:b/>
          <w:sz w:val="20"/>
          <w:szCs w:val="20"/>
        </w:rPr>
      </w:pPr>
    </w:p>
    <w:p w14:paraId="000002C0"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Risk Factors relating to Portfolio Rebalancing </w:t>
      </w:r>
    </w:p>
    <w:p w14:paraId="000002C1" w14:textId="77777777" w:rsidR="00546EC1" w:rsidRPr="00BA2938" w:rsidRDefault="00546EC1" w:rsidP="00BA2938">
      <w:pPr>
        <w:spacing w:after="0" w:line="240" w:lineRule="auto"/>
        <w:jc w:val="both"/>
        <w:rPr>
          <w:rFonts w:ascii="Titillium Web" w:hAnsi="Titillium Web"/>
          <w:b/>
          <w:sz w:val="20"/>
          <w:szCs w:val="20"/>
        </w:rPr>
      </w:pPr>
    </w:p>
    <w:p w14:paraId="000002C2" w14:textId="77777777" w:rsidR="00546EC1" w:rsidRPr="00BA2938" w:rsidRDefault="00000000" w:rsidP="00BA2938">
      <w:pPr>
        <w:spacing w:after="0" w:line="240" w:lineRule="auto"/>
        <w:jc w:val="both"/>
        <w:rPr>
          <w:rFonts w:ascii="Titillium Web" w:hAnsi="Titillium Web"/>
          <w:sz w:val="20"/>
          <w:szCs w:val="20"/>
        </w:rPr>
      </w:pPr>
      <w:proofErr w:type="gramStart"/>
      <w:r w:rsidRPr="00BA2938">
        <w:rPr>
          <w:rFonts w:ascii="Titillium Web" w:hAnsi="Titillium Web"/>
          <w:sz w:val="20"/>
          <w:szCs w:val="20"/>
        </w:rPr>
        <w:t>In the event that</w:t>
      </w:r>
      <w:proofErr w:type="gramEnd"/>
      <w:r w:rsidRPr="00BA2938">
        <w:rPr>
          <w:rFonts w:ascii="Titillium Web" w:hAnsi="Titillium Web"/>
          <w:sz w:val="20"/>
          <w:szCs w:val="20"/>
        </w:rPr>
        <w:t xml:space="preserve"> the asset allocation of the Scheme deviates from the ranges as provided in the asset allocation table in this SID, then and for rebalancing, the following norms shall apply in line with clause 2.9 of SEBI Master Circular on Mutual Funds dated June 27, 2024:</w:t>
      </w:r>
    </w:p>
    <w:p w14:paraId="000002C3" w14:textId="77777777" w:rsidR="00546EC1" w:rsidRPr="00BA2938" w:rsidRDefault="00546EC1" w:rsidP="00BA2938">
      <w:pPr>
        <w:spacing w:after="0" w:line="240" w:lineRule="auto"/>
        <w:jc w:val="both"/>
        <w:rPr>
          <w:rFonts w:ascii="Titillium Web" w:hAnsi="Titillium Web"/>
          <w:sz w:val="20"/>
          <w:szCs w:val="20"/>
        </w:rPr>
      </w:pPr>
    </w:p>
    <w:p w14:paraId="000002C4" w14:textId="77777777" w:rsidR="00546EC1" w:rsidRPr="00BA2938" w:rsidRDefault="00000000" w:rsidP="00BA2938">
      <w:pPr>
        <w:widowControl w:val="0"/>
        <w:numPr>
          <w:ilvl w:val="0"/>
          <w:numId w:val="6"/>
        </w:numPr>
        <w:pBdr>
          <w:top w:val="nil"/>
          <w:left w:val="nil"/>
          <w:bottom w:val="nil"/>
          <w:right w:val="nil"/>
          <w:between w:val="nil"/>
        </w:pBdr>
        <w:spacing w:after="0" w:line="240" w:lineRule="auto"/>
        <w:ind w:left="360"/>
        <w:jc w:val="both"/>
        <w:rPr>
          <w:rFonts w:ascii="Titillium Web" w:hAnsi="Titillium Web"/>
          <w:color w:val="000000"/>
          <w:sz w:val="20"/>
          <w:szCs w:val="20"/>
        </w:rPr>
      </w:pPr>
      <w:r w:rsidRPr="00BA2938">
        <w:rPr>
          <w:rFonts w:ascii="Titillium Web" w:hAnsi="Titillium Web"/>
          <w:color w:val="000000"/>
          <w:sz w:val="20"/>
          <w:szCs w:val="20"/>
        </w:rPr>
        <w:t>In case of change in constituents of the index due to periodic review, the portfolio will be rebalanced within 7 calendar days.</w:t>
      </w:r>
    </w:p>
    <w:p w14:paraId="000002C5" w14:textId="77777777" w:rsidR="00546EC1" w:rsidRPr="00BA2938" w:rsidRDefault="00000000" w:rsidP="00BA2938">
      <w:pPr>
        <w:widowControl w:val="0"/>
        <w:numPr>
          <w:ilvl w:val="0"/>
          <w:numId w:val="6"/>
        </w:numPr>
        <w:pBdr>
          <w:top w:val="nil"/>
          <w:left w:val="nil"/>
          <w:bottom w:val="nil"/>
          <w:right w:val="nil"/>
          <w:between w:val="nil"/>
        </w:pBdr>
        <w:spacing w:after="0" w:line="240" w:lineRule="auto"/>
        <w:ind w:left="360"/>
        <w:jc w:val="both"/>
        <w:rPr>
          <w:rFonts w:ascii="Titillium Web" w:hAnsi="Titillium Web"/>
          <w:color w:val="000000"/>
          <w:sz w:val="20"/>
          <w:szCs w:val="20"/>
        </w:rPr>
      </w:pPr>
      <w:r w:rsidRPr="00BA2938">
        <w:rPr>
          <w:rFonts w:ascii="Titillium Web" w:hAnsi="Titillium Web"/>
          <w:color w:val="000000"/>
          <w:sz w:val="20"/>
          <w:szCs w:val="20"/>
        </w:rPr>
        <w:t>In case the rating of any security is downgraded to below the rating mandated in the index methodology (including downgrade to below investment grade), the portfolio be rebalanced within 30 calendar days.</w:t>
      </w:r>
    </w:p>
    <w:p w14:paraId="000002C6" w14:textId="77777777" w:rsidR="00546EC1" w:rsidRPr="00BA2938" w:rsidRDefault="00000000" w:rsidP="00BA2938">
      <w:pPr>
        <w:widowControl w:val="0"/>
        <w:numPr>
          <w:ilvl w:val="0"/>
          <w:numId w:val="6"/>
        </w:numPr>
        <w:pBdr>
          <w:top w:val="nil"/>
          <w:left w:val="nil"/>
          <w:bottom w:val="nil"/>
          <w:right w:val="nil"/>
          <w:between w:val="nil"/>
        </w:pBdr>
        <w:spacing w:after="0" w:line="240" w:lineRule="auto"/>
        <w:ind w:left="360"/>
        <w:jc w:val="both"/>
        <w:rPr>
          <w:rFonts w:ascii="Titillium Web" w:hAnsi="Titillium Web"/>
          <w:color w:val="000000"/>
          <w:sz w:val="20"/>
          <w:szCs w:val="20"/>
        </w:rPr>
      </w:pPr>
      <w:r w:rsidRPr="00BA2938">
        <w:rPr>
          <w:rFonts w:ascii="Titillium Web" w:hAnsi="Titillium Web"/>
          <w:color w:val="000000"/>
          <w:sz w:val="20"/>
          <w:szCs w:val="20"/>
        </w:rPr>
        <w:t>In case the rating of any security is downgraded to below investment grade, the said security may be segregated in accordance with SEBI Regulations</w:t>
      </w:r>
    </w:p>
    <w:p w14:paraId="000002C7" w14:textId="77777777" w:rsidR="00546EC1" w:rsidRPr="00BA2938" w:rsidRDefault="00546EC1" w:rsidP="00BA2938">
      <w:pPr>
        <w:spacing w:after="0" w:line="240" w:lineRule="auto"/>
        <w:jc w:val="both"/>
        <w:rPr>
          <w:rFonts w:ascii="Titillium Web" w:hAnsi="Titillium Web"/>
          <w:b/>
          <w:sz w:val="20"/>
          <w:szCs w:val="20"/>
        </w:rPr>
      </w:pPr>
    </w:p>
    <w:p w14:paraId="000002C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Further, in case of any deviation due to passive breaches, the asset allocation would be restored in line with the asset allocation pattern within 7 calendar days from the date of deviation.</w:t>
      </w:r>
    </w:p>
    <w:p w14:paraId="000002C9" w14:textId="77777777" w:rsidR="00546EC1" w:rsidRPr="00BA2938" w:rsidRDefault="00546EC1" w:rsidP="00BA2938">
      <w:pPr>
        <w:spacing w:after="0" w:line="240" w:lineRule="auto"/>
        <w:jc w:val="both"/>
        <w:rPr>
          <w:rFonts w:ascii="Titillium Web" w:hAnsi="Titillium Web"/>
          <w:b/>
          <w:sz w:val="20"/>
          <w:szCs w:val="20"/>
        </w:rPr>
      </w:pPr>
    </w:p>
    <w:p w14:paraId="000002C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is subject to the risks described below. Some or all these risks may adversely affect Scheme’s NAV, trading price, yield, return and/or its ability to meet its objectives.</w:t>
      </w:r>
    </w:p>
    <w:p w14:paraId="000002CB" w14:textId="77777777" w:rsidR="00546EC1" w:rsidRPr="00BA2938" w:rsidRDefault="00546EC1" w:rsidP="00BA2938">
      <w:pPr>
        <w:spacing w:after="0" w:line="240" w:lineRule="auto"/>
        <w:jc w:val="both"/>
        <w:rPr>
          <w:rFonts w:ascii="Titillium Web" w:hAnsi="Titillium Web"/>
          <w:sz w:val="20"/>
          <w:szCs w:val="20"/>
        </w:rPr>
      </w:pPr>
    </w:p>
    <w:p w14:paraId="000002CC"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 Market Risk</w:t>
      </w:r>
    </w:p>
    <w:p w14:paraId="000002CD" w14:textId="77777777" w:rsidR="00546EC1" w:rsidRPr="00BA2938" w:rsidRDefault="00546EC1" w:rsidP="00BA2938">
      <w:pPr>
        <w:spacing w:after="0" w:line="240" w:lineRule="auto"/>
        <w:jc w:val="both"/>
        <w:rPr>
          <w:rFonts w:ascii="Titillium Web" w:hAnsi="Titillium Web"/>
          <w:b/>
          <w:sz w:val="20"/>
          <w:szCs w:val="20"/>
        </w:rPr>
      </w:pPr>
    </w:p>
    <w:p w14:paraId="000002C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Scheme’s NAV will react to the stock market movements. The Investor could lose money over short periods due to fluctuation in the Scheme’s NAV in response to factors such as economic and political developments, changes in interest rates and perceived trends in stock prices market movements, and over longer periods during market downturns.</w:t>
      </w:r>
    </w:p>
    <w:p w14:paraId="000002CF" w14:textId="77777777" w:rsidR="00546EC1" w:rsidRPr="00BA2938" w:rsidRDefault="00546EC1" w:rsidP="00BA2938">
      <w:pPr>
        <w:spacing w:after="0" w:line="240" w:lineRule="auto"/>
        <w:jc w:val="both"/>
        <w:rPr>
          <w:rFonts w:ascii="Titillium Web" w:hAnsi="Titillium Web"/>
          <w:sz w:val="20"/>
          <w:szCs w:val="20"/>
        </w:rPr>
      </w:pPr>
    </w:p>
    <w:p w14:paraId="000002D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Settlement Risk:</w:t>
      </w:r>
      <w:r w:rsidRPr="00BA2938">
        <w:rPr>
          <w:rFonts w:ascii="Titillium Web" w:hAnsi="Titillium Web"/>
          <w:sz w:val="20"/>
          <w:szCs w:val="20"/>
        </w:rPr>
        <w:t xml:space="preserve"> In certain cases, settlement periods may be extended significantly by unforeseen circumstances. The inability of the Scheme to make intended securities purchases due to settlement problems could cause the Scheme to miss certain investment opportunities as in certain cases, settlement periods may be extended significantly by unforeseen circumstances. Similarly, the inability to sell securities held in the Scheme portfolio may result, at times, in potential losses to the Scheme, and there can be a subsequent decline in the value of the securities held in the Scheme portfolio.</w:t>
      </w:r>
    </w:p>
    <w:p w14:paraId="000002D1" w14:textId="77777777" w:rsidR="00546EC1" w:rsidRPr="00BA2938" w:rsidRDefault="00546EC1" w:rsidP="00BA2938">
      <w:pPr>
        <w:spacing w:after="0" w:line="240" w:lineRule="auto"/>
        <w:jc w:val="both"/>
        <w:rPr>
          <w:rFonts w:ascii="Titillium Web" w:hAnsi="Titillium Web"/>
          <w:sz w:val="20"/>
          <w:szCs w:val="20"/>
        </w:rPr>
      </w:pPr>
    </w:p>
    <w:p w14:paraId="000002D2"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Right to Limit Redemptions:</w:t>
      </w:r>
      <w:r w:rsidRPr="00BA2938">
        <w:rPr>
          <w:rFonts w:ascii="Titillium Web" w:hAnsi="Titillium Web"/>
          <w:sz w:val="20"/>
          <w:szCs w:val="20"/>
        </w:rPr>
        <w:t xml:space="preserve"> The Trustee, in the general interest of the Unit holders of the Scheme offered in this Document and keeping in view the unforeseen circumstances / unusual market conditions, may limit the total </w:t>
      </w:r>
      <w:r w:rsidRPr="00BA2938">
        <w:rPr>
          <w:rFonts w:ascii="Titillium Web" w:hAnsi="Titillium Web"/>
          <w:sz w:val="20"/>
          <w:szCs w:val="20"/>
        </w:rPr>
        <w:lastRenderedPageBreak/>
        <w:t>number of Units which can be redeemed on any Business Day. The same shall be in accordance with clause 1.12 of SEBI Master Circular dated June 27, 2024. (Restriction on redemption in Mutual Funds).</w:t>
      </w:r>
    </w:p>
    <w:p w14:paraId="000002D3" w14:textId="77777777" w:rsidR="00546EC1" w:rsidRPr="00BA2938" w:rsidRDefault="00546EC1" w:rsidP="00BA2938">
      <w:pPr>
        <w:spacing w:after="0" w:line="240" w:lineRule="auto"/>
        <w:jc w:val="both"/>
        <w:rPr>
          <w:rFonts w:ascii="Titillium Web" w:hAnsi="Titillium Web"/>
          <w:sz w:val="20"/>
          <w:szCs w:val="20"/>
        </w:rPr>
      </w:pPr>
    </w:p>
    <w:p w14:paraId="000002D4" w14:textId="77777777" w:rsidR="00546EC1" w:rsidRPr="00BA2938" w:rsidRDefault="00000000" w:rsidP="00BA2938">
      <w:pPr>
        <w:spacing w:after="0" w:line="240" w:lineRule="auto"/>
        <w:jc w:val="both"/>
        <w:rPr>
          <w:rFonts w:ascii="Titillium Web" w:hAnsi="Titillium Web"/>
          <w:sz w:val="20"/>
          <w:szCs w:val="20"/>
        </w:rPr>
      </w:pPr>
      <w:bookmarkStart w:id="15" w:name="_heading=h.salw3fi5qk4" w:colFirst="0" w:colLast="0"/>
      <w:bookmarkEnd w:id="15"/>
      <w:r w:rsidRPr="00BA2938">
        <w:rPr>
          <w:rFonts w:ascii="Titillium Web" w:hAnsi="Titillium Web"/>
          <w:b/>
          <w:sz w:val="20"/>
          <w:szCs w:val="20"/>
        </w:rPr>
        <w:t>Portfolio Concentration Risk</w:t>
      </w:r>
    </w:p>
    <w:p w14:paraId="000002D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To the extent that the Scheme may concentrate its investments in the Securities of certain companies/sectors, the Scheme will therefore be subject to the risks associated with such concentration. In addition, the Scheme may be exposed to higher levels of volatility and risk than would generally be the case in a more diverse fund portfolio of equity Securities. Such risks may impact the Scheme to the extent that it invests </w:t>
      </w:r>
      <w:proofErr w:type="gramStart"/>
      <w:r w:rsidRPr="00BA2938">
        <w:rPr>
          <w:rFonts w:ascii="Titillium Web" w:hAnsi="Titillium Web"/>
          <w:sz w:val="20"/>
          <w:szCs w:val="20"/>
        </w:rPr>
        <w:t>in particular companies/sectors</w:t>
      </w:r>
      <w:proofErr w:type="gramEnd"/>
      <w:r w:rsidRPr="00BA2938">
        <w:rPr>
          <w:rFonts w:ascii="Titillium Web" w:hAnsi="Titillium Web"/>
          <w:sz w:val="20"/>
          <w:szCs w:val="20"/>
        </w:rPr>
        <w:t xml:space="preserve"> even in cases where the investment objective is more generic. </w:t>
      </w:r>
    </w:p>
    <w:p w14:paraId="000002D6" w14:textId="77777777" w:rsidR="00546EC1" w:rsidRPr="00BA2938" w:rsidRDefault="00546EC1" w:rsidP="00BA2938">
      <w:pPr>
        <w:spacing w:after="0" w:line="240" w:lineRule="auto"/>
        <w:jc w:val="both"/>
        <w:rPr>
          <w:rFonts w:ascii="Titillium Web" w:hAnsi="Titillium Web"/>
          <w:sz w:val="20"/>
          <w:szCs w:val="20"/>
        </w:rPr>
      </w:pPr>
    </w:p>
    <w:p w14:paraId="000002D7" w14:textId="77777777" w:rsidR="00546EC1" w:rsidRPr="00BA2938" w:rsidRDefault="00000000" w:rsidP="00BA2938">
      <w:pPr>
        <w:spacing w:after="0" w:line="240" w:lineRule="auto"/>
        <w:jc w:val="both"/>
        <w:rPr>
          <w:rFonts w:ascii="Titillium Web" w:hAnsi="Titillium Web"/>
          <w:b/>
          <w:sz w:val="20"/>
          <w:szCs w:val="20"/>
        </w:rPr>
      </w:pPr>
      <w:bookmarkStart w:id="16" w:name="_heading=h.7lagpqhu6ca2" w:colFirst="0" w:colLast="0"/>
      <w:bookmarkEnd w:id="16"/>
      <w:r w:rsidRPr="00BA2938">
        <w:rPr>
          <w:rFonts w:ascii="Titillium Web" w:hAnsi="Titillium Web"/>
          <w:b/>
          <w:sz w:val="20"/>
          <w:szCs w:val="20"/>
        </w:rPr>
        <w:t>Volatility Risk</w:t>
      </w:r>
    </w:p>
    <w:p w14:paraId="000002D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equity markets and derivative markets are </w:t>
      </w:r>
      <w:proofErr w:type="gramStart"/>
      <w:r w:rsidRPr="00BA2938">
        <w:rPr>
          <w:rFonts w:ascii="Titillium Web" w:hAnsi="Titillium Web"/>
          <w:sz w:val="20"/>
          <w:szCs w:val="20"/>
        </w:rPr>
        <w:t>volatile</w:t>
      </w:r>
      <w:proofErr w:type="gramEnd"/>
      <w:r w:rsidRPr="00BA2938">
        <w:rPr>
          <w:rFonts w:ascii="Titillium Web" w:hAnsi="Titillium Web"/>
          <w:sz w:val="20"/>
          <w:szCs w:val="20"/>
        </w:rPr>
        <w:t xml:space="preserve"> and the value of securities, derivative contracts and other instruments correlated with the equity markets may fluctuate dramatically from day to day. This volatility may cause the value of investment in the Scheme to decrease.</w:t>
      </w:r>
    </w:p>
    <w:p w14:paraId="000002D9" w14:textId="77777777" w:rsidR="00546EC1" w:rsidRPr="00BA2938" w:rsidRDefault="00546EC1" w:rsidP="00BA2938">
      <w:pPr>
        <w:spacing w:after="0" w:line="240" w:lineRule="auto"/>
        <w:jc w:val="both"/>
        <w:rPr>
          <w:rFonts w:ascii="Titillium Web" w:hAnsi="Titillium Web"/>
          <w:sz w:val="20"/>
          <w:szCs w:val="20"/>
        </w:rPr>
      </w:pPr>
    </w:p>
    <w:p w14:paraId="000002DA" w14:textId="77777777" w:rsidR="00546EC1" w:rsidRPr="00BA2938" w:rsidRDefault="00000000" w:rsidP="00BA2938">
      <w:pPr>
        <w:spacing w:after="0" w:line="240" w:lineRule="auto"/>
        <w:jc w:val="both"/>
        <w:rPr>
          <w:rFonts w:ascii="Titillium Web" w:hAnsi="Titillium Web"/>
          <w:sz w:val="20"/>
          <w:szCs w:val="20"/>
        </w:rPr>
      </w:pPr>
      <w:bookmarkStart w:id="17" w:name="_heading=h.l9ixrh1pbgjf" w:colFirst="0" w:colLast="0"/>
      <w:bookmarkEnd w:id="17"/>
      <w:r w:rsidRPr="00BA2938">
        <w:rPr>
          <w:rFonts w:ascii="Titillium Web" w:hAnsi="Titillium Web"/>
          <w:b/>
          <w:sz w:val="20"/>
          <w:szCs w:val="20"/>
        </w:rPr>
        <w:t>Passive Investments</w:t>
      </w:r>
    </w:p>
    <w:p w14:paraId="000002D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is not actively managed. The Scheme may be affected by a general decline in the Indian markets relating to its Underlying Index. The Scheme invests in the securities included in its Underlying Index regardless of their investment merit. The AMC does not attempt to individually select stocks or to take defensive positions in declining markets.</w:t>
      </w:r>
    </w:p>
    <w:p w14:paraId="000002DC" w14:textId="77777777" w:rsidR="00546EC1" w:rsidRPr="00BA2938" w:rsidRDefault="00546EC1" w:rsidP="00BA2938">
      <w:pPr>
        <w:spacing w:after="0" w:line="240" w:lineRule="auto"/>
        <w:jc w:val="both"/>
        <w:rPr>
          <w:rFonts w:ascii="Titillium Web" w:hAnsi="Titillium Web"/>
          <w:sz w:val="20"/>
          <w:szCs w:val="20"/>
        </w:rPr>
      </w:pPr>
    </w:p>
    <w:p w14:paraId="000002DD" w14:textId="77777777" w:rsidR="00546EC1" w:rsidRPr="00BA2938" w:rsidRDefault="00000000" w:rsidP="00BA2938">
      <w:pPr>
        <w:spacing w:after="0" w:line="240" w:lineRule="auto"/>
        <w:jc w:val="both"/>
        <w:rPr>
          <w:rFonts w:ascii="Titillium Web" w:hAnsi="Titillium Web"/>
          <w:sz w:val="20"/>
          <w:szCs w:val="20"/>
        </w:rPr>
      </w:pPr>
      <w:bookmarkStart w:id="18" w:name="_heading=h.64ary34qfzvy" w:colFirst="0" w:colLast="0"/>
      <w:bookmarkEnd w:id="18"/>
      <w:r w:rsidRPr="00BA2938">
        <w:rPr>
          <w:rFonts w:ascii="Titillium Web" w:hAnsi="Titillium Web"/>
          <w:b/>
          <w:sz w:val="20"/>
          <w:szCs w:val="20"/>
        </w:rPr>
        <w:t xml:space="preserve">Tracking Error Risk  </w:t>
      </w:r>
    </w:p>
    <w:p w14:paraId="000002D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Factors such as the fees and expenses of the Scheme, Corporate Actions, Cash balance, changes to the Underlying Indices and regulatory policies may affect AMC’s ability to achieve close correlation with the Underlying Index of the Scheme. The Scheme’s returns may therefore deviate from those of its Underlying Index. “Tracking Error” is defined as the standard deviation of the difference between daily returns of the index and the NAV of the Scheme. Tracking errors may result from a variety of factors including but not limited to:</w:t>
      </w:r>
    </w:p>
    <w:p w14:paraId="000002D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Any delay experienced in the purchase or sale of shares due to illiquidity of the market, settlement and realization of sale proceeds and the registration of any securities transferred and any delays in receiving cash and scrip dividends and resulting delays in reinvesting them.</w:t>
      </w:r>
    </w:p>
    <w:p w14:paraId="000002E0" w14:textId="77777777" w:rsidR="00546EC1" w:rsidRPr="00BA2938" w:rsidRDefault="00546EC1" w:rsidP="00BA2938">
      <w:pPr>
        <w:spacing w:after="0" w:line="240" w:lineRule="auto"/>
        <w:jc w:val="both"/>
        <w:rPr>
          <w:rFonts w:ascii="Titillium Web" w:hAnsi="Titillium Web"/>
          <w:sz w:val="20"/>
          <w:szCs w:val="20"/>
        </w:rPr>
      </w:pPr>
    </w:p>
    <w:p w14:paraId="000002E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Securities trading may halt temporarily due to circuit filters.</w:t>
      </w:r>
    </w:p>
    <w:p w14:paraId="000002E2" w14:textId="77777777" w:rsidR="00546EC1" w:rsidRPr="00BA2938" w:rsidRDefault="00546EC1" w:rsidP="00BA2938">
      <w:pPr>
        <w:spacing w:after="0" w:line="240" w:lineRule="auto"/>
        <w:jc w:val="both"/>
        <w:rPr>
          <w:rFonts w:ascii="Titillium Web" w:hAnsi="Titillium Web"/>
          <w:sz w:val="20"/>
          <w:szCs w:val="20"/>
        </w:rPr>
      </w:pPr>
    </w:p>
    <w:p w14:paraId="000002E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underlying index reflects the prices of securities at close of business hours. However, the Fund may buy or sell the securities at different points of time during the trading session at the then prevailing prices which may not correspond to the closing prices on the exchange.</w:t>
      </w:r>
    </w:p>
    <w:p w14:paraId="000002E4" w14:textId="77777777" w:rsidR="00546EC1" w:rsidRPr="00BA2938" w:rsidRDefault="00546EC1" w:rsidP="00BA2938">
      <w:pPr>
        <w:spacing w:after="0" w:line="240" w:lineRule="auto"/>
        <w:jc w:val="both"/>
        <w:rPr>
          <w:rFonts w:ascii="Titillium Web" w:hAnsi="Titillium Web"/>
          <w:sz w:val="20"/>
          <w:szCs w:val="20"/>
        </w:rPr>
      </w:pPr>
    </w:p>
    <w:p w14:paraId="000002E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Index Service Provider undertakes the periodical review of the scrips that comprise the underlying index and may either drop or include new securities. In such an event, the Fund will endeavor to reallocate its </w:t>
      </w:r>
      <w:proofErr w:type="gramStart"/>
      <w:r w:rsidRPr="00BA2938">
        <w:rPr>
          <w:rFonts w:ascii="Titillium Web" w:hAnsi="Titillium Web"/>
          <w:sz w:val="20"/>
          <w:szCs w:val="20"/>
        </w:rPr>
        <w:t>portfolio</w:t>
      </w:r>
      <w:proofErr w:type="gramEnd"/>
      <w:r w:rsidRPr="00BA2938">
        <w:rPr>
          <w:rFonts w:ascii="Titillium Web" w:hAnsi="Titillium Web"/>
          <w:sz w:val="20"/>
          <w:szCs w:val="20"/>
        </w:rPr>
        <w:t xml:space="preserve"> but the available investment/ disinvestment opportunities may not permit precise mirroring of the Index immediately.</w:t>
      </w:r>
    </w:p>
    <w:p w14:paraId="000002E6" w14:textId="77777777" w:rsidR="00546EC1" w:rsidRPr="00BA2938" w:rsidRDefault="00546EC1" w:rsidP="00BA2938">
      <w:pPr>
        <w:spacing w:after="0" w:line="240" w:lineRule="auto"/>
        <w:jc w:val="both"/>
        <w:rPr>
          <w:rFonts w:ascii="Titillium Web" w:hAnsi="Titillium Web"/>
          <w:sz w:val="20"/>
          <w:szCs w:val="20"/>
        </w:rPr>
      </w:pPr>
    </w:p>
    <w:p w14:paraId="000002E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lastRenderedPageBreak/>
        <w:t>The potential for trades to fail which may result in the Scheme not having acquired shares at a price necessary to track the index.</w:t>
      </w:r>
    </w:p>
    <w:p w14:paraId="000002E8" w14:textId="77777777" w:rsidR="00546EC1" w:rsidRPr="00BA2938" w:rsidRDefault="00546EC1" w:rsidP="00BA2938">
      <w:pPr>
        <w:spacing w:after="0" w:line="240" w:lineRule="auto"/>
        <w:jc w:val="both"/>
        <w:rPr>
          <w:rFonts w:ascii="Titillium Web" w:hAnsi="Titillium Web"/>
          <w:sz w:val="20"/>
          <w:szCs w:val="20"/>
        </w:rPr>
      </w:pPr>
    </w:p>
    <w:p w14:paraId="000002E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holding of cash position to meet the redemptions and other liquidity requirements and accrued income prior to distribution and accrued expenses.</w:t>
      </w:r>
    </w:p>
    <w:p w14:paraId="000002EA" w14:textId="77777777" w:rsidR="00546EC1" w:rsidRPr="00BA2938" w:rsidRDefault="00546EC1" w:rsidP="00BA2938">
      <w:pPr>
        <w:spacing w:after="0" w:line="240" w:lineRule="auto"/>
        <w:jc w:val="both"/>
        <w:rPr>
          <w:rFonts w:ascii="Titillium Web" w:hAnsi="Titillium Web"/>
          <w:sz w:val="20"/>
          <w:szCs w:val="20"/>
        </w:rPr>
      </w:pPr>
    </w:p>
    <w:p w14:paraId="000002E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Disinvestments to meet redemptions, recurring expenses, dividend payouts etc.</w:t>
      </w:r>
    </w:p>
    <w:p w14:paraId="000002EC" w14:textId="77777777" w:rsidR="00546EC1" w:rsidRPr="00BA2938" w:rsidRDefault="00546EC1" w:rsidP="00BA2938">
      <w:pPr>
        <w:spacing w:after="0" w:line="240" w:lineRule="auto"/>
        <w:jc w:val="both"/>
        <w:rPr>
          <w:rFonts w:ascii="Titillium Web" w:hAnsi="Titillium Web"/>
          <w:sz w:val="20"/>
          <w:szCs w:val="20"/>
        </w:rPr>
      </w:pPr>
    </w:p>
    <w:p w14:paraId="000002E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Corporate actions such as rights, merger, change in constituents etc.</w:t>
      </w:r>
    </w:p>
    <w:p w14:paraId="000002EE" w14:textId="77777777" w:rsidR="00546EC1" w:rsidRPr="00BA2938" w:rsidRDefault="00546EC1" w:rsidP="00BA2938">
      <w:pPr>
        <w:spacing w:after="0" w:line="240" w:lineRule="auto"/>
        <w:jc w:val="both"/>
        <w:rPr>
          <w:rFonts w:ascii="Titillium Web" w:hAnsi="Titillium Web"/>
          <w:sz w:val="20"/>
          <w:szCs w:val="20"/>
        </w:rPr>
      </w:pPr>
    </w:p>
    <w:p w14:paraId="000002E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Rounding off quantity of shares underlying the index Expenditure incurred by the Scheme.</w:t>
      </w:r>
    </w:p>
    <w:p w14:paraId="000002F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funds may not be </w:t>
      </w:r>
      <w:proofErr w:type="gramStart"/>
      <w:r w:rsidRPr="00BA2938">
        <w:rPr>
          <w:rFonts w:ascii="Titillium Web" w:hAnsi="Titillium Web"/>
          <w:sz w:val="20"/>
          <w:szCs w:val="20"/>
        </w:rPr>
        <w:t>invested at all times</w:t>
      </w:r>
      <w:proofErr w:type="gramEnd"/>
      <w:r w:rsidRPr="00BA2938">
        <w:rPr>
          <w:rFonts w:ascii="Titillium Web" w:hAnsi="Titillium Web"/>
          <w:sz w:val="20"/>
          <w:szCs w:val="20"/>
        </w:rPr>
        <w:t xml:space="preserve"> as it may keep a portion of the funds in cash to meet redemptions or expenses or for corporate actions of securities in the index.</w:t>
      </w:r>
    </w:p>
    <w:p w14:paraId="000002F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AMC would monitor the tracking error of the Scheme on an ongoing basis and would seek to minimize tracking error to the maximum extent possible. However, this may vary due to the reasons mentioned above or any other reasons that may arise and particularly when the markets are very volatile.</w:t>
      </w:r>
    </w:p>
    <w:p w14:paraId="000002F2" w14:textId="77777777" w:rsidR="00546EC1" w:rsidRPr="00BA2938" w:rsidRDefault="00546EC1" w:rsidP="00BA2938">
      <w:pPr>
        <w:spacing w:after="0" w:line="240" w:lineRule="auto"/>
        <w:jc w:val="both"/>
        <w:rPr>
          <w:rFonts w:ascii="Titillium Web" w:hAnsi="Titillium Web"/>
          <w:sz w:val="20"/>
          <w:szCs w:val="20"/>
        </w:rPr>
      </w:pPr>
    </w:p>
    <w:p w14:paraId="000002F3"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 associated with Investing in Equities:</w:t>
      </w:r>
    </w:p>
    <w:p w14:paraId="000002F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value of the Schemes’ investments may be affected generally by factors affecting securities markets, such as price and volume volatility in the capital markets, interest rates, currency exchange rates, changes in policies of the Government, taxation laws or any other appropriate authority policies and other political and economic developments which may have an adverse bearing on individual securities, a specific sector or all sectors including equity and debt markets. Consequently, the NAV of the Units of the Schemes may fluctuate and can go up or down.</w:t>
      </w:r>
    </w:p>
    <w:p w14:paraId="000002F5" w14:textId="77777777" w:rsidR="00546EC1" w:rsidRPr="00BA2938" w:rsidRDefault="00546EC1" w:rsidP="00BA2938">
      <w:pPr>
        <w:spacing w:after="0" w:line="240" w:lineRule="auto"/>
        <w:jc w:val="both"/>
        <w:rPr>
          <w:rFonts w:ascii="Titillium Web" w:hAnsi="Titillium Web"/>
          <w:sz w:val="20"/>
          <w:szCs w:val="20"/>
        </w:rPr>
      </w:pPr>
    </w:p>
    <w:p w14:paraId="000002F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Trading volumes, settlement periods and transfer procedures may restrict the liquidity of these investments. Different segments of the Indian financial markets have different settlement </w:t>
      </w:r>
      <w:proofErr w:type="gramStart"/>
      <w:r w:rsidRPr="00BA2938">
        <w:rPr>
          <w:rFonts w:ascii="Titillium Web" w:hAnsi="Titillium Web"/>
          <w:sz w:val="20"/>
          <w:szCs w:val="20"/>
        </w:rPr>
        <w:t>periods</w:t>
      </w:r>
      <w:proofErr w:type="gramEnd"/>
      <w:r w:rsidRPr="00BA2938">
        <w:rPr>
          <w:rFonts w:ascii="Titillium Web" w:hAnsi="Titillium Web"/>
          <w:sz w:val="20"/>
          <w:szCs w:val="20"/>
        </w:rPr>
        <w:t xml:space="preserve"> and such periods may be extended significantly by unforeseen circumstances. The inability of the Schemes to make intended securities purchases due to settlement problems could cause the Schemes to miss certain investment opportunities.</w:t>
      </w:r>
    </w:p>
    <w:p w14:paraId="000002F7" w14:textId="77777777" w:rsidR="00546EC1" w:rsidRPr="00BA2938" w:rsidRDefault="00546EC1" w:rsidP="00BA2938">
      <w:pPr>
        <w:spacing w:after="0" w:line="240" w:lineRule="auto"/>
        <w:jc w:val="both"/>
        <w:rPr>
          <w:rFonts w:ascii="Titillium Web" w:hAnsi="Titillium Web"/>
          <w:sz w:val="20"/>
          <w:szCs w:val="20"/>
        </w:rPr>
      </w:pPr>
    </w:p>
    <w:p w14:paraId="000002F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 The Mutual Fund may not be able to sell / lend out securities, which can lead to temporary illiquidity. There are risks inherent in securities lending, including the risk of failure of the other party, in this case the approved intermediary to comply with the terms of the agreement. Such failure can result in a possible loss of rights to the collateral, the inability of the approved intermediary to return the securities deposited by the lender and the possible loss of corporate benefits accruing thereon.</w:t>
      </w:r>
    </w:p>
    <w:p w14:paraId="000002F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Investors may note that dividend is due only when declared and there is no assurance that a company (even though it may have a track record of payment of dividend in the past) may continue paying dividend in future. As such, the schemes are vulnerable to instances where investments in securities may not earn dividend or where lesser dividend is declared by a company in subsequent years in which investments are made by schemes. As the profitability of companies are likely to vary and have a material bearing on their ability to declare and pay dividend, the performance of the schemes may be adversely affected due to such factors.</w:t>
      </w:r>
    </w:p>
    <w:p w14:paraId="000002FA" w14:textId="77777777" w:rsidR="00546EC1" w:rsidRPr="00BA2938" w:rsidRDefault="00546EC1" w:rsidP="00BA2938">
      <w:pPr>
        <w:spacing w:after="0" w:line="240" w:lineRule="auto"/>
        <w:jc w:val="both"/>
        <w:rPr>
          <w:rFonts w:ascii="Titillium Web" w:hAnsi="Titillium Web"/>
          <w:sz w:val="20"/>
          <w:szCs w:val="20"/>
        </w:rPr>
      </w:pPr>
    </w:p>
    <w:p w14:paraId="000002F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schemes will also be vulnerable to movements in the prices of securities invested by the schemes which again could have a material bearing on the overall returns from the schemes.</w:t>
      </w:r>
    </w:p>
    <w:p w14:paraId="000002FC" w14:textId="77777777" w:rsidR="00546EC1" w:rsidRPr="00BA2938" w:rsidRDefault="00546EC1" w:rsidP="00BA2938">
      <w:pPr>
        <w:spacing w:after="0" w:line="240" w:lineRule="auto"/>
        <w:jc w:val="both"/>
        <w:rPr>
          <w:rFonts w:ascii="Titillium Web" w:hAnsi="Titillium Web"/>
          <w:sz w:val="20"/>
          <w:szCs w:val="20"/>
        </w:rPr>
      </w:pPr>
    </w:p>
    <w:p w14:paraId="000002F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Securities, which are not quoted on the stock exchanges, are inherently illiquid in nature and carry a larger amount of liquidity risk. Within the Regulatory limits, the AMC may choose to invest in unlisted securities. This may however increase the risk of the portfolio.</w:t>
      </w:r>
    </w:p>
    <w:p w14:paraId="000002FE" w14:textId="77777777" w:rsidR="00546EC1" w:rsidRPr="00BA2938" w:rsidRDefault="00546EC1" w:rsidP="00BA2938">
      <w:pPr>
        <w:spacing w:after="0" w:line="240" w:lineRule="auto"/>
        <w:jc w:val="both"/>
        <w:rPr>
          <w:rFonts w:ascii="Titillium Web" w:hAnsi="Titillium Web"/>
          <w:sz w:val="20"/>
          <w:szCs w:val="20"/>
        </w:rPr>
      </w:pPr>
    </w:p>
    <w:p w14:paraId="000002F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While securities that are listed on the stock exchange carry lower liquidity risk, the ability to sell these investments is limited by the overall trading volume on the stock exchanges. The liquidity of the Schemes’ investments is inherently restricted by trading volumes in the securities in which it invests.</w:t>
      </w:r>
    </w:p>
    <w:p w14:paraId="0000030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 </w:t>
      </w:r>
    </w:p>
    <w:p w14:paraId="0000030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In case of abnormal circumstances, it will be difficult to complete the square off transaction due to liquidity being poor in stock futures/spot market. The Schemes investing in foreign securities will be exposed to settlement risk, as different countries have different settlement periods.</w:t>
      </w:r>
    </w:p>
    <w:p w14:paraId="00000302" w14:textId="77777777" w:rsidR="00546EC1" w:rsidRPr="00BA2938" w:rsidRDefault="00546EC1" w:rsidP="00BA2938">
      <w:pPr>
        <w:spacing w:after="0" w:line="240" w:lineRule="auto"/>
        <w:jc w:val="both"/>
        <w:rPr>
          <w:rFonts w:ascii="Titillium Web" w:hAnsi="Titillium Web"/>
          <w:sz w:val="20"/>
          <w:szCs w:val="20"/>
        </w:rPr>
      </w:pPr>
    </w:p>
    <w:p w14:paraId="0000030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Changes in Government policy in general and changes in tax benefits applicable to mutual funds may impact the returns to investors in the Schemes or business prospects of the Company in any </w:t>
      </w:r>
      <w:proofErr w:type="gramStart"/>
      <w:r w:rsidRPr="00BA2938">
        <w:rPr>
          <w:rFonts w:ascii="Titillium Web" w:hAnsi="Titillium Web"/>
          <w:sz w:val="20"/>
          <w:szCs w:val="20"/>
        </w:rPr>
        <w:t>particular sector</w:t>
      </w:r>
      <w:proofErr w:type="gramEnd"/>
      <w:r w:rsidRPr="00BA2938">
        <w:rPr>
          <w:rFonts w:ascii="Titillium Web" w:hAnsi="Titillium Web"/>
          <w:sz w:val="20"/>
          <w:szCs w:val="20"/>
        </w:rPr>
        <w:t>.</w:t>
      </w:r>
    </w:p>
    <w:p w14:paraId="00000304" w14:textId="77777777" w:rsidR="00546EC1" w:rsidRPr="00BA2938" w:rsidRDefault="00546EC1" w:rsidP="00BA2938">
      <w:pPr>
        <w:spacing w:after="0" w:line="240" w:lineRule="auto"/>
        <w:jc w:val="both"/>
        <w:rPr>
          <w:rFonts w:ascii="Titillium Web" w:hAnsi="Titillium Web"/>
          <w:sz w:val="20"/>
          <w:szCs w:val="20"/>
        </w:rPr>
      </w:pPr>
    </w:p>
    <w:p w14:paraId="00000305"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 factors pertaining to investment in Fixed Income Securities</w:t>
      </w:r>
    </w:p>
    <w:p w14:paraId="0000030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Market Risk/ Interest Rate risk: The Net Asset Value (NAV) of the Scheme(s), to the extent invested in Debt and Money Market securities, will be affected by changes in the general level of interest rates. The NAV of the Scheme(s) is expected to increase from a fall in interest rates while it would be adversely affected by an increase in the level of interest rates. The movements in interest rate depend on various factors such as government borrowing, inflation, economic performance etc.</w:t>
      </w:r>
    </w:p>
    <w:p w14:paraId="00000307" w14:textId="77777777" w:rsidR="00546EC1" w:rsidRPr="00BA2938" w:rsidRDefault="00546EC1" w:rsidP="00BA2938">
      <w:pPr>
        <w:spacing w:after="0" w:line="240" w:lineRule="auto"/>
        <w:jc w:val="both"/>
        <w:rPr>
          <w:rFonts w:ascii="Titillium Web" w:hAnsi="Titillium Web"/>
          <w:sz w:val="20"/>
          <w:szCs w:val="20"/>
        </w:rPr>
      </w:pPr>
    </w:p>
    <w:p w14:paraId="0000030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Liquidity Risk:</w:t>
      </w:r>
      <w:r w:rsidRPr="00BA2938">
        <w:rPr>
          <w:rFonts w:ascii="Titillium Web" w:hAnsi="Titillium Web"/>
          <w:sz w:val="20"/>
          <w:szCs w:val="20"/>
        </w:rPr>
        <w:t xml:space="preserve"> The liquidity of a security may change depending on market conditions leading to changes in the liquidity premium linked to the price of the security. At the time of selling the security, the security can become illiquid leading to loss in the value of the portfolio.</w:t>
      </w:r>
    </w:p>
    <w:p w14:paraId="00000309" w14:textId="77777777" w:rsidR="00546EC1" w:rsidRPr="00BA2938" w:rsidRDefault="00546EC1" w:rsidP="00BA2938">
      <w:pPr>
        <w:spacing w:after="0" w:line="240" w:lineRule="auto"/>
        <w:jc w:val="both"/>
        <w:rPr>
          <w:rFonts w:ascii="Titillium Web" w:hAnsi="Titillium Web"/>
          <w:sz w:val="20"/>
          <w:szCs w:val="20"/>
        </w:rPr>
      </w:pPr>
    </w:p>
    <w:p w14:paraId="0000030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Credit Risk:</w:t>
      </w:r>
      <w:r w:rsidRPr="00BA2938">
        <w:rPr>
          <w:rFonts w:ascii="Titillium Web" w:hAnsi="Titillium Web"/>
          <w:sz w:val="20"/>
          <w:szCs w:val="20"/>
        </w:rPr>
        <w:t xml:space="preserve"> Investments in Fixed income Securities are subject to the risk of an issuer's inability to meet interest and principal payments on its obligations and market perception of the creditworthiness of the issuer.</w:t>
      </w:r>
    </w:p>
    <w:p w14:paraId="0000030B" w14:textId="77777777" w:rsidR="00546EC1" w:rsidRPr="00BA2938" w:rsidRDefault="00546EC1" w:rsidP="00BA2938">
      <w:pPr>
        <w:spacing w:after="0" w:line="240" w:lineRule="auto"/>
        <w:jc w:val="both"/>
        <w:rPr>
          <w:rFonts w:ascii="Titillium Web" w:hAnsi="Titillium Web"/>
          <w:sz w:val="20"/>
          <w:szCs w:val="20"/>
        </w:rPr>
      </w:pPr>
    </w:p>
    <w:p w14:paraId="0000030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Price Risk:</w:t>
      </w:r>
      <w:r w:rsidRPr="00BA2938">
        <w:rPr>
          <w:rFonts w:ascii="Titillium Web" w:hAnsi="Titillium Web"/>
          <w:sz w:val="20"/>
          <w:szCs w:val="20"/>
        </w:rPr>
        <w:t xml:space="preserve"> Government securities where a fixed return is offered run price-risk like any other fixed income security. Generally, when interest rates rise, prices of fixed income securities fall and when interest rates drop, the prices increase. The extent of fall or rise in the prices is a function of the existing coupon, days to maturity and the increase or decrease in the level of interest rates. The new level of interest rate is determined by the rates at which government raises new money and/or the price levels at which the market is already dealing in existing securities. The price-risk is not unique to Government Securities. It exists for all fixed income securities. However, Government Securities are unique in the sense that their credit risk generally remains zero. Therefore, their prices are influenced only by movement in interest rates in the financial system.</w:t>
      </w:r>
    </w:p>
    <w:p w14:paraId="0000030D" w14:textId="77777777" w:rsidR="00546EC1" w:rsidRPr="00BA2938" w:rsidRDefault="00546EC1" w:rsidP="00BA2938">
      <w:pPr>
        <w:spacing w:after="0" w:line="240" w:lineRule="auto"/>
        <w:jc w:val="both"/>
        <w:rPr>
          <w:rFonts w:ascii="Titillium Web" w:hAnsi="Titillium Web"/>
          <w:b/>
          <w:sz w:val="20"/>
          <w:szCs w:val="20"/>
        </w:rPr>
      </w:pPr>
    </w:p>
    <w:p w14:paraId="0000030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Reinvestment Risk:</w:t>
      </w:r>
      <w:r w:rsidRPr="00BA2938">
        <w:rPr>
          <w:rFonts w:ascii="Titillium Web" w:hAnsi="Titillium Web"/>
          <w:sz w:val="20"/>
          <w:szCs w:val="20"/>
        </w:rPr>
        <w:t xml:space="preserve"> This risk refers to the interest rate levels at which cash flows received from the securities in the Scheme are reinvested. The additional income from reinvestment is the “interest on interest” component. The risk is that the rate at which interim cash flows can be reinvested may be lower than that originally assumed.</w:t>
      </w:r>
    </w:p>
    <w:p w14:paraId="0000030F" w14:textId="77777777" w:rsidR="00546EC1" w:rsidRPr="00BA2938" w:rsidRDefault="00546EC1" w:rsidP="00BA2938">
      <w:pPr>
        <w:spacing w:after="0" w:line="240" w:lineRule="auto"/>
        <w:jc w:val="both"/>
        <w:rPr>
          <w:rFonts w:ascii="Titillium Web" w:hAnsi="Titillium Web"/>
          <w:sz w:val="20"/>
          <w:szCs w:val="20"/>
        </w:rPr>
      </w:pPr>
    </w:p>
    <w:p w14:paraId="0000031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Settlement Risk:</w:t>
      </w:r>
      <w:r w:rsidRPr="00BA2938">
        <w:rPr>
          <w:rFonts w:ascii="Titillium Web" w:hAnsi="Titillium Web"/>
          <w:sz w:val="20"/>
          <w:szCs w:val="20"/>
        </w:rPr>
        <w:t xml:space="preserve"> The inability of the Scheme to make intended securities purchases due to settlement problems could cause the Scheme to miss certain investment opportunities. By the same rationale, the inability to sell securities held in the Schemes’ portfolio due to the extraneous factors that may impact liquidity would result, at times, in potential losses to the Plan, in case of a subsequent decline in the value of securities held in the Schemes’ portfolio.</w:t>
      </w:r>
    </w:p>
    <w:p w14:paraId="00000311" w14:textId="77777777" w:rsidR="00546EC1" w:rsidRPr="00BA2938" w:rsidRDefault="00546EC1" w:rsidP="00BA2938">
      <w:pPr>
        <w:spacing w:after="0" w:line="240" w:lineRule="auto"/>
        <w:jc w:val="both"/>
        <w:rPr>
          <w:rFonts w:ascii="Titillium Web" w:hAnsi="Titillium Web"/>
          <w:sz w:val="20"/>
          <w:szCs w:val="20"/>
        </w:rPr>
      </w:pPr>
    </w:p>
    <w:p w14:paraId="00000312"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Regulatory Risk:</w:t>
      </w:r>
      <w:r w:rsidRPr="00BA2938">
        <w:rPr>
          <w:rFonts w:ascii="Titillium Web" w:hAnsi="Titillium Web"/>
          <w:sz w:val="20"/>
          <w:szCs w:val="20"/>
        </w:rPr>
        <w:t xml:space="preserve"> Changes in government policy in general and changes in tax benefits applicable to Mutual Funds may impact the returns to investors in the Scheme.</w:t>
      </w:r>
    </w:p>
    <w:p w14:paraId="00000313" w14:textId="77777777" w:rsidR="00546EC1" w:rsidRPr="00BA2938" w:rsidRDefault="00546EC1" w:rsidP="00BA2938">
      <w:pPr>
        <w:spacing w:after="0" w:line="240" w:lineRule="auto"/>
        <w:jc w:val="both"/>
        <w:rPr>
          <w:rFonts w:ascii="Titillium Web" w:hAnsi="Titillium Web"/>
          <w:sz w:val="20"/>
          <w:szCs w:val="20"/>
        </w:rPr>
      </w:pPr>
    </w:p>
    <w:p w14:paraId="0000031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Different types of fixed income securities in which the Scheme(s) would invest as given in the Scheme Information Document carry different levels and types of risk. Accordingly, the Scheme(s) risk may increase or decrease depending upon its investment pattern. e.g. corporate bonds carry a higher level of risk than Government securities.</w:t>
      </w:r>
    </w:p>
    <w:p w14:paraId="00000315" w14:textId="77777777" w:rsidR="00546EC1" w:rsidRPr="00BA2938" w:rsidRDefault="00546EC1" w:rsidP="00BA2938">
      <w:pPr>
        <w:spacing w:after="0" w:line="240" w:lineRule="auto"/>
        <w:jc w:val="both"/>
        <w:rPr>
          <w:rFonts w:ascii="Titillium Web" w:hAnsi="Titillium Web"/>
          <w:sz w:val="20"/>
          <w:szCs w:val="20"/>
        </w:rPr>
      </w:pPr>
    </w:p>
    <w:p w14:paraId="0000031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AMC may, considering the overall level of risk of the portfolio, invest in lower rated / unrated securities offering higher yields as well as zero coupon securities that offer attractive yields. This may increase the absolute level of risk of the portfolio.</w:t>
      </w:r>
    </w:p>
    <w:p w14:paraId="00000317" w14:textId="77777777" w:rsidR="00546EC1" w:rsidRPr="00BA2938" w:rsidRDefault="00546EC1" w:rsidP="00BA2938">
      <w:pPr>
        <w:spacing w:after="0" w:line="240" w:lineRule="auto"/>
        <w:jc w:val="both"/>
        <w:rPr>
          <w:rFonts w:ascii="Titillium Web" w:hAnsi="Titillium Web"/>
          <w:sz w:val="20"/>
          <w:szCs w:val="20"/>
        </w:rPr>
      </w:pPr>
    </w:p>
    <w:p w14:paraId="0000031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As zero-coupon securities </w:t>
      </w:r>
      <w:proofErr w:type="gramStart"/>
      <w:r w:rsidRPr="00BA2938">
        <w:rPr>
          <w:rFonts w:ascii="Titillium Web" w:hAnsi="Titillium Web"/>
          <w:sz w:val="20"/>
          <w:szCs w:val="20"/>
        </w:rPr>
        <w:t>does</w:t>
      </w:r>
      <w:proofErr w:type="gramEnd"/>
      <w:r w:rsidRPr="00BA2938">
        <w:rPr>
          <w:rFonts w:ascii="Titillium Web" w:hAnsi="Titillium Web"/>
          <w:sz w:val="20"/>
          <w:szCs w:val="20"/>
        </w:rPr>
        <w:t xml:space="preserve"> not provide periodic interest payments to the holder of the security, these securities are more sensitive to changes in interest rates. Therefore, the interest rate risk of zero-coupon securities is higher. The AMC may choose to invest in zero coupon securities that offer attractive yields. This may increase the risk of the portfolio.</w:t>
      </w:r>
    </w:p>
    <w:p w14:paraId="00000319" w14:textId="77777777" w:rsidR="00546EC1" w:rsidRPr="00BA2938" w:rsidRDefault="00546EC1" w:rsidP="00BA2938">
      <w:pPr>
        <w:spacing w:after="0" w:line="240" w:lineRule="auto"/>
        <w:jc w:val="both"/>
        <w:rPr>
          <w:rFonts w:ascii="Titillium Web" w:hAnsi="Titillium Web"/>
          <w:sz w:val="20"/>
          <w:szCs w:val="20"/>
        </w:rPr>
      </w:pPr>
    </w:p>
    <w:p w14:paraId="0000031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Securities, which are not quoted on the stock exchanges, are inherently illiquid in nature and carry a larger amount of liquidity risk, in comparison to securities that are listed on the exchanges or offer other exit options to the investor, including a put option. The AMC may choose to invest in unlisted securities that offer attractive yields. This may increase the risk of the portfolio.</w:t>
      </w:r>
    </w:p>
    <w:p w14:paraId="0000031B" w14:textId="77777777" w:rsidR="00546EC1" w:rsidRPr="00BA2938" w:rsidRDefault="00546EC1" w:rsidP="00BA2938">
      <w:pPr>
        <w:spacing w:after="0" w:line="240" w:lineRule="auto"/>
        <w:jc w:val="both"/>
        <w:rPr>
          <w:rFonts w:ascii="Titillium Web" w:hAnsi="Titillium Web"/>
          <w:sz w:val="20"/>
          <w:szCs w:val="20"/>
        </w:rPr>
      </w:pPr>
    </w:p>
    <w:p w14:paraId="0000031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Scheme(s) at times may receive large number of redemption requests, leading to an asset-liability mismatch and therefore, requiring the investment manager to make a distress sale of the securities leading to realignment of the portfolio and consequently resulting in investment in lower yield instruments.</w:t>
      </w:r>
    </w:p>
    <w:p w14:paraId="0000031D" w14:textId="77777777" w:rsidR="00546EC1" w:rsidRPr="00BA2938" w:rsidRDefault="00546EC1" w:rsidP="00BA2938">
      <w:pPr>
        <w:spacing w:after="0" w:line="240" w:lineRule="auto"/>
        <w:jc w:val="both"/>
        <w:rPr>
          <w:rFonts w:ascii="Titillium Web" w:hAnsi="Titillium Web"/>
          <w:sz w:val="20"/>
          <w:szCs w:val="20"/>
        </w:rPr>
      </w:pPr>
    </w:p>
    <w:p w14:paraId="0000031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Scheme’s performance may differ from the benchmark index to the extent of the investments held in the debt segment, as per the investment pattern indicated under normal circumstances.</w:t>
      </w:r>
    </w:p>
    <w:p w14:paraId="0000031F" w14:textId="77777777" w:rsidR="00546EC1" w:rsidRPr="00BA2938" w:rsidRDefault="00546EC1" w:rsidP="00BA2938">
      <w:pPr>
        <w:spacing w:after="0" w:line="240" w:lineRule="auto"/>
        <w:jc w:val="both"/>
        <w:rPr>
          <w:rFonts w:ascii="Titillium Web" w:hAnsi="Titillium Web"/>
          <w:sz w:val="20"/>
          <w:szCs w:val="20"/>
        </w:rPr>
      </w:pPr>
    </w:p>
    <w:p w14:paraId="00000320"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associated with Investing in Foreign Securities - ADRs/GDRs/other overseas investments:</w:t>
      </w:r>
    </w:p>
    <w:p w14:paraId="0000032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lastRenderedPageBreak/>
        <w:t>The Scheme shall not invest in Foreign Securities - ADRs/GDRs/other overseas investments.</w:t>
      </w:r>
    </w:p>
    <w:p w14:paraId="00000322" w14:textId="77777777" w:rsidR="00546EC1" w:rsidRPr="00BA2938" w:rsidRDefault="00546EC1" w:rsidP="00BA2938">
      <w:pPr>
        <w:spacing w:after="0" w:line="240" w:lineRule="auto"/>
        <w:jc w:val="both"/>
        <w:rPr>
          <w:rFonts w:ascii="Titillium Web" w:hAnsi="Titillium Web"/>
          <w:b/>
          <w:sz w:val="20"/>
          <w:szCs w:val="20"/>
        </w:rPr>
      </w:pPr>
    </w:p>
    <w:p w14:paraId="00000323"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Risks associated with Investing in Derivatives: </w:t>
      </w:r>
    </w:p>
    <w:p w14:paraId="0000032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Schemes may use various derivative products as permitted by the Regulations. Use of derivatives requires an understanding of not only the underlying instrument but also of the derivative itself. Other risks include the risk of mis-pricing or improper valuation and the inability of derivatives to correlate perfectly with underlying assets, rates and indices.</w:t>
      </w:r>
    </w:p>
    <w:p w14:paraId="00000325" w14:textId="77777777" w:rsidR="00546EC1" w:rsidRPr="00BA2938" w:rsidRDefault="00546EC1" w:rsidP="00BA2938">
      <w:pPr>
        <w:spacing w:after="0" w:line="240" w:lineRule="auto"/>
        <w:jc w:val="both"/>
        <w:rPr>
          <w:rFonts w:ascii="Titillium Web" w:hAnsi="Titillium Web"/>
          <w:sz w:val="20"/>
          <w:szCs w:val="20"/>
        </w:rPr>
      </w:pPr>
    </w:p>
    <w:p w14:paraId="0000032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Fund may use derivatives instruments like Stock Index Futures, Interest Rate Swaps, Forward Rate Agreements or other derivative instruments for the purpose of portfolio balancing, as permitted under the Regulations and guidelines. Usage of derivatives will expose the Schemes to certain risks inherent to such derivatives.</w:t>
      </w:r>
    </w:p>
    <w:p w14:paraId="00000327" w14:textId="77777777" w:rsidR="00546EC1" w:rsidRPr="00BA2938" w:rsidRDefault="00546EC1" w:rsidP="00BA2938">
      <w:pPr>
        <w:spacing w:after="0" w:line="240" w:lineRule="auto"/>
        <w:jc w:val="both"/>
        <w:rPr>
          <w:rFonts w:ascii="Titillium Web" w:hAnsi="Titillium Web"/>
          <w:sz w:val="20"/>
          <w:szCs w:val="20"/>
        </w:rPr>
      </w:pPr>
    </w:p>
    <w:p w14:paraId="0000032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Derivative products are leveraged instruments and can provide disproportionate gains as well as disproportionate losses to the investor. Execution of such strategies depends upon the ability of the fund manager to identify such opportunities. Identification and execution of the strategies to be pursued by the fund manager involve uncertainty and decision of fund manager may not always be profitable. No assurance can be given that the fund manager will be able to identify or execute such strategies. </w:t>
      </w:r>
    </w:p>
    <w:p w14:paraId="00000329" w14:textId="77777777" w:rsidR="00546EC1" w:rsidRPr="00BA2938" w:rsidRDefault="00546EC1" w:rsidP="00BA2938">
      <w:pPr>
        <w:spacing w:after="0" w:line="240" w:lineRule="auto"/>
        <w:jc w:val="both"/>
        <w:rPr>
          <w:rFonts w:ascii="Titillium Web" w:hAnsi="Titillium Web"/>
          <w:sz w:val="20"/>
          <w:szCs w:val="20"/>
        </w:rPr>
      </w:pPr>
    </w:p>
    <w:p w14:paraId="0000032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Thus, derivatives are highly leveraged instruments. Even a small price movement in the underlying security could have a large impact on their value. Also, the market for derivative instruments is nascent in India.</w:t>
      </w:r>
    </w:p>
    <w:p w14:paraId="0000032B" w14:textId="77777777" w:rsidR="00546EC1" w:rsidRPr="00BA2938" w:rsidRDefault="00546EC1" w:rsidP="00BA2938">
      <w:pPr>
        <w:spacing w:after="0" w:line="240" w:lineRule="auto"/>
        <w:jc w:val="both"/>
        <w:rPr>
          <w:rFonts w:ascii="Titillium Web" w:hAnsi="Titillium Web"/>
          <w:sz w:val="20"/>
          <w:szCs w:val="20"/>
        </w:rPr>
      </w:pPr>
    </w:p>
    <w:p w14:paraId="0000032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risks associated with the use of derivatives are different from or possibly greater than the risks associated with investing directly in securities and other traditional investments.</w:t>
      </w:r>
    </w:p>
    <w:p w14:paraId="0000032D" w14:textId="77777777" w:rsidR="00546EC1" w:rsidRPr="00BA2938" w:rsidRDefault="00546EC1" w:rsidP="00BA2938">
      <w:pPr>
        <w:spacing w:after="0" w:line="240" w:lineRule="auto"/>
        <w:jc w:val="both"/>
        <w:rPr>
          <w:rFonts w:ascii="Titillium Web" w:hAnsi="Titillium Web"/>
          <w:sz w:val="20"/>
          <w:szCs w:val="20"/>
        </w:rPr>
      </w:pPr>
    </w:p>
    <w:p w14:paraId="0000032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specific risk factors arising out of a derivative strategy used by the Fund Manager may be as below:</w:t>
      </w:r>
    </w:p>
    <w:p w14:paraId="0000032F" w14:textId="77777777" w:rsidR="00546EC1" w:rsidRPr="00BA2938" w:rsidRDefault="00000000" w:rsidP="00BA2938">
      <w:pPr>
        <w:numPr>
          <w:ilvl w:val="0"/>
          <w:numId w:val="8"/>
        </w:numPr>
        <w:pBdr>
          <w:top w:val="nil"/>
          <w:left w:val="nil"/>
          <w:bottom w:val="nil"/>
          <w:right w:val="nil"/>
          <w:between w:val="nil"/>
        </w:pBdr>
        <w:spacing w:after="0" w:line="240" w:lineRule="auto"/>
        <w:jc w:val="both"/>
        <w:rPr>
          <w:rFonts w:ascii="Titillium Web" w:hAnsi="Titillium Web"/>
          <w:color w:val="000000"/>
          <w:sz w:val="20"/>
          <w:szCs w:val="20"/>
        </w:rPr>
      </w:pPr>
      <w:r w:rsidRPr="00BA2938">
        <w:rPr>
          <w:rFonts w:ascii="Titillium Web" w:hAnsi="Titillium Web"/>
          <w:color w:val="000000"/>
          <w:sz w:val="20"/>
          <w:szCs w:val="20"/>
        </w:rPr>
        <w:t>Lack of opportunity available in the market.</w:t>
      </w:r>
    </w:p>
    <w:p w14:paraId="00000330" w14:textId="77777777" w:rsidR="00546EC1" w:rsidRPr="00BA2938" w:rsidRDefault="00000000" w:rsidP="00BA2938">
      <w:pPr>
        <w:numPr>
          <w:ilvl w:val="0"/>
          <w:numId w:val="8"/>
        </w:numPr>
        <w:pBdr>
          <w:top w:val="nil"/>
          <w:left w:val="nil"/>
          <w:bottom w:val="nil"/>
          <w:right w:val="nil"/>
          <w:between w:val="nil"/>
        </w:pBdr>
        <w:spacing w:after="0" w:line="240" w:lineRule="auto"/>
        <w:jc w:val="both"/>
        <w:rPr>
          <w:rFonts w:ascii="Titillium Web" w:hAnsi="Titillium Web"/>
          <w:color w:val="000000"/>
          <w:sz w:val="20"/>
          <w:szCs w:val="20"/>
        </w:rPr>
      </w:pPr>
      <w:r w:rsidRPr="00BA2938">
        <w:rPr>
          <w:rFonts w:ascii="Titillium Web" w:hAnsi="Titillium Web"/>
          <w:color w:val="000000"/>
          <w:sz w:val="20"/>
          <w:szCs w:val="20"/>
        </w:rPr>
        <w:t>The risk of mispricing or improper valuation and the inability of derivatives to correlate perfectly with underlying assets, rates and indices.</w:t>
      </w:r>
    </w:p>
    <w:p w14:paraId="00000331" w14:textId="77777777" w:rsidR="00546EC1" w:rsidRPr="00BA2938" w:rsidRDefault="00000000" w:rsidP="00BA2938">
      <w:pPr>
        <w:numPr>
          <w:ilvl w:val="0"/>
          <w:numId w:val="8"/>
        </w:numPr>
        <w:pBdr>
          <w:top w:val="nil"/>
          <w:left w:val="nil"/>
          <w:bottom w:val="nil"/>
          <w:right w:val="nil"/>
          <w:between w:val="nil"/>
        </w:pBdr>
        <w:spacing w:after="0" w:line="240" w:lineRule="auto"/>
        <w:jc w:val="both"/>
        <w:rPr>
          <w:rFonts w:ascii="Titillium Web" w:hAnsi="Titillium Web"/>
          <w:color w:val="000000"/>
          <w:sz w:val="20"/>
          <w:szCs w:val="20"/>
        </w:rPr>
      </w:pPr>
      <w:r w:rsidRPr="00BA2938">
        <w:rPr>
          <w:rFonts w:ascii="Titillium Web" w:hAnsi="Titillium Web"/>
          <w:color w:val="000000"/>
          <w:sz w:val="20"/>
          <w:szCs w:val="20"/>
        </w:rPr>
        <w:t>Execution Risk: The prices which are seen on the screen need not be the same at which execution will take place</w:t>
      </w:r>
    </w:p>
    <w:p w14:paraId="00000332" w14:textId="77777777" w:rsidR="00546EC1" w:rsidRPr="00BA2938" w:rsidRDefault="00000000" w:rsidP="00BA2938">
      <w:pPr>
        <w:numPr>
          <w:ilvl w:val="0"/>
          <w:numId w:val="8"/>
        </w:numPr>
        <w:pBdr>
          <w:top w:val="nil"/>
          <w:left w:val="nil"/>
          <w:bottom w:val="nil"/>
          <w:right w:val="nil"/>
          <w:between w:val="nil"/>
        </w:pBdr>
        <w:spacing w:after="0" w:line="240" w:lineRule="auto"/>
        <w:jc w:val="both"/>
        <w:rPr>
          <w:rFonts w:ascii="Titillium Web" w:hAnsi="Titillium Web"/>
          <w:color w:val="000000"/>
          <w:sz w:val="20"/>
          <w:szCs w:val="20"/>
        </w:rPr>
      </w:pPr>
      <w:r w:rsidRPr="00BA2938">
        <w:rPr>
          <w:rFonts w:ascii="Titillium Web" w:hAnsi="Titillium Web"/>
          <w:color w:val="000000"/>
          <w:sz w:val="20"/>
          <w:szCs w:val="20"/>
        </w:rPr>
        <w:t>Basis Risk: This risk arises when the derivative instrument used to hedge the underlying asset does not match the movement of the underlying asset being hedged</w:t>
      </w:r>
    </w:p>
    <w:p w14:paraId="00000333" w14:textId="77777777" w:rsidR="00546EC1" w:rsidRPr="00BA2938" w:rsidRDefault="00000000" w:rsidP="00BA2938">
      <w:pPr>
        <w:numPr>
          <w:ilvl w:val="0"/>
          <w:numId w:val="8"/>
        </w:numPr>
        <w:pBdr>
          <w:top w:val="nil"/>
          <w:left w:val="nil"/>
          <w:bottom w:val="nil"/>
          <w:right w:val="nil"/>
          <w:between w:val="nil"/>
        </w:pBdr>
        <w:spacing w:after="0" w:line="240" w:lineRule="auto"/>
        <w:jc w:val="both"/>
        <w:rPr>
          <w:rFonts w:ascii="Titillium Web" w:hAnsi="Titillium Web"/>
          <w:color w:val="000000"/>
          <w:sz w:val="20"/>
          <w:szCs w:val="20"/>
        </w:rPr>
      </w:pPr>
      <w:r w:rsidRPr="00BA2938">
        <w:rPr>
          <w:rFonts w:ascii="Titillium Web" w:hAnsi="Titillium Web"/>
          <w:color w:val="000000"/>
          <w:sz w:val="20"/>
          <w:szCs w:val="20"/>
        </w:rPr>
        <w:t xml:space="preserve">Exchanges could raise the initial margin, variation margin or other forms of margin on derivative contracts, impose one sided </w:t>
      </w:r>
      <w:proofErr w:type="gramStart"/>
      <w:r w:rsidRPr="00BA2938">
        <w:rPr>
          <w:rFonts w:ascii="Titillium Web" w:hAnsi="Titillium Web"/>
          <w:color w:val="000000"/>
          <w:sz w:val="20"/>
          <w:szCs w:val="20"/>
        </w:rPr>
        <w:t>margins</w:t>
      </w:r>
      <w:proofErr w:type="gramEnd"/>
      <w:r w:rsidRPr="00BA2938">
        <w:rPr>
          <w:rFonts w:ascii="Titillium Web" w:hAnsi="Titillium Web"/>
          <w:color w:val="000000"/>
          <w:sz w:val="20"/>
          <w:szCs w:val="20"/>
        </w:rPr>
        <w:t xml:space="preserve"> or insist that margins be placed in cash. All of these might force positions to be unwound at a loss and might materially impact returns.</w:t>
      </w:r>
    </w:p>
    <w:p w14:paraId="00000334" w14:textId="77777777" w:rsidR="00546EC1" w:rsidRPr="00BA2938" w:rsidRDefault="00546EC1" w:rsidP="00BA2938">
      <w:pPr>
        <w:spacing w:after="0" w:line="240" w:lineRule="auto"/>
        <w:jc w:val="both"/>
        <w:rPr>
          <w:rFonts w:ascii="Titillium Web" w:hAnsi="Titillium Web"/>
          <w:sz w:val="20"/>
          <w:szCs w:val="20"/>
        </w:rPr>
      </w:pPr>
    </w:p>
    <w:p w14:paraId="00000335"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Risks associated with investing in </w:t>
      </w:r>
      <w:proofErr w:type="spellStart"/>
      <w:r w:rsidRPr="00BA2938">
        <w:rPr>
          <w:rFonts w:ascii="Titillium Web" w:hAnsi="Titillium Web"/>
          <w:b/>
          <w:sz w:val="20"/>
          <w:szCs w:val="20"/>
        </w:rPr>
        <w:t>Securitised</w:t>
      </w:r>
      <w:proofErr w:type="spellEnd"/>
      <w:r w:rsidRPr="00BA2938">
        <w:rPr>
          <w:rFonts w:ascii="Titillium Web" w:hAnsi="Titillium Web"/>
          <w:b/>
          <w:sz w:val="20"/>
          <w:szCs w:val="20"/>
        </w:rPr>
        <w:t xml:space="preserve"> Debt:</w:t>
      </w:r>
    </w:p>
    <w:p w14:paraId="0000033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Scheme shall not invest in </w:t>
      </w:r>
      <w:proofErr w:type="spellStart"/>
      <w:r w:rsidRPr="00BA2938">
        <w:rPr>
          <w:rFonts w:ascii="Titillium Web" w:hAnsi="Titillium Web"/>
          <w:sz w:val="20"/>
          <w:szCs w:val="20"/>
        </w:rPr>
        <w:t>Securitised</w:t>
      </w:r>
      <w:proofErr w:type="spellEnd"/>
      <w:r w:rsidRPr="00BA2938">
        <w:rPr>
          <w:rFonts w:ascii="Titillium Web" w:hAnsi="Titillium Web"/>
          <w:sz w:val="20"/>
          <w:szCs w:val="20"/>
        </w:rPr>
        <w:t xml:space="preserve"> debt.</w:t>
      </w:r>
    </w:p>
    <w:p w14:paraId="00000337" w14:textId="77777777" w:rsidR="00546EC1" w:rsidRPr="00BA2938" w:rsidRDefault="00546EC1" w:rsidP="00BA2938">
      <w:pPr>
        <w:spacing w:after="0" w:line="240" w:lineRule="auto"/>
        <w:jc w:val="both"/>
        <w:rPr>
          <w:rFonts w:ascii="Titillium Web" w:hAnsi="Titillium Web"/>
          <w:sz w:val="20"/>
          <w:szCs w:val="20"/>
        </w:rPr>
      </w:pPr>
    </w:p>
    <w:p w14:paraId="00000338"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associated with Securities Lending &amp; Borrowing (SLB)</w:t>
      </w:r>
    </w:p>
    <w:p w14:paraId="0000033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lastRenderedPageBreak/>
        <w:t>Securities lending is lending of securities through an approved intermediary to a borrower under an agreement for a specified period with the condition that the borrower will return equivalent securities of the same type or class at the end of the specified period along with the corporate benefits accruing on the securities borrowed.</w:t>
      </w:r>
    </w:p>
    <w:p w14:paraId="0000033A" w14:textId="77777777" w:rsidR="00546EC1" w:rsidRPr="00BA2938" w:rsidRDefault="00546EC1" w:rsidP="00BA2938">
      <w:pPr>
        <w:spacing w:after="0" w:line="240" w:lineRule="auto"/>
        <w:jc w:val="both"/>
        <w:rPr>
          <w:rFonts w:ascii="Titillium Web" w:hAnsi="Titillium Web"/>
          <w:sz w:val="20"/>
          <w:szCs w:val="20"/>
        </w:rPr>
      </w:pPr>
    </w:p>
    <w:p w14:paraId="0000033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risks in security lending consist of the failure of intermediary / counterparty, to comply with the terms of agreement </w:t>
      </w:r>
      <w:proofErr w:type="gramStart"/>
      <w:r w:rsidRPr="00BA2938">
        <w:rPr>
          <w:rFonts w:ascii="Titillium Web" w:hAnsi="Titillium Web"/>
          <w:sz w:val="20"/>
          <w:szCs w:val="20"/>
        </w:rPr>
        <w:t>entered into</w:t>
      </w:r>
      <w:proofErr w:type="gramEnd"/>
      <w:r w:rsidRPr="00BA2938">
        <w:rPr>
          <w:rFonts w:ascii="Titillium Web" w:hAnsi="Titillium Web"/>
          <w:sz w:val="20"/>
          <w:szCs w:val="20"/>
        </w:rPr>
        <w:t xml:space="preserve"> between the lender of securities i.e. the Scheme and the intermediary / counterparty. Such failure to comply can result in the possible loss of rights in the collateral put up by the borrower of the securities, the inability of the approved intermediary to return the securities deposited by the lender and the possible loss of any corporate benefits accruing to the lender from the securities deposited with the approved intermediary. The scheme may not be able to sell lent out securities, which can lead to temporary illiquidity &amp; loss of opportunity.</w:t>
      </w:r>
    </w:p>
    <w:p w14:paraId="0000033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 </w:t>
      </w:r>
    </w:p>
    <w:p w14:paraId="0000033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Investors are requested to refer to section “How will the Scheme allocate its assets?” for maximum permissible exposure to Securities Lending &amp; Borrowing.</w:t>
      </w:r>
    </w:p>
    <w:p w14:paraId="0000033E" w14:textId="77777777" w:rsidR="00546EC1" w:rsidRPr="00BA2938" w:rsidRDefault="00546EC1" w:rsidP="00BA2938">
      <w:pPr>
        <w:spacing w:after="0" w:line="240" w:lineRule="auto"/>
        <w:jc w:val="both"/>
        <w:rPr>
          <w:rFonts w:ascii="Titillium Web" w:hAnsi="Titillium Web"/>
          <w:sz w:val="20"/>
          <w:szCs w:val="20"/>
        </w:rPr>
      </w:pPr>
    </w:p>
    <w:p w14:paraId="0000033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Risks associated with Short Selling</w:t>
      </w:r>
    </w:p>
    <w:p w14:paraId="0000034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Scheme will not engage in Short Selling. </w:t>
      </w:r>
    </w:p>
    <w:p w14:paraId="00000341" w14:textId="77777777" w:rsidR="00546EC1" w:rsidRPr="00BA2938" w:rsidRDefault="00546EC1" w:rsidP="00BA2938">
      <w:pPr>
        <w:spacing w:after="0" w:line="240" w:lineRule="auto"/>
        <w:jc w:val="both"/>
        <w:rPr>
          <w:rFonts w:ascii="Titillium Web" w:hAnsi="Titillium Web"/>
          <w:b/>
          <w:sz w:val="20"/>
          <w:szCs w:val="20"/>
        </w:rPr>
      </w:pPr>
    </w:p>
    <w:p w14:paraId="00000342"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associated with investing in Tri Party Repo through CCIL (TREPS):</w:t>
      </w:r>
    </w:p>
    <w:p w14:paraId="0000034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mutual fund is a member of securities segment and Tri-party Repo trade settlement of the Clearing Corporation of India (CCIL). All transactions of the mutual fund in government securities and in Tri-party Repo trades are settled centrally through the infrastructure and settlement systems provided by CCIL; </w:t>
      </w:r>
      <w:proofErr w:type="gramStart"/>
      <w:r w:rsidRPr="00BA2938">
        <w:rPr>
          <w:rFonts w:ascii="Titillium Web" w:hAnsi="Titillium Web"/>
          <w:sz w:val="20"/>
          <w:szCs w:val="20"/>
        </w:rPr>
        <w:t>thus</w:t>
      </w:r>
      <w:proofErr w:type="gramEnd"/>
      <w:r w:rsidRPr="00BA2938">
        <w:rPr>
          <w:rFonts w:ascii="Titillium Web" w:hAnsi="Titillium Web"/>
          <w:sz w:val="20"/>
          <w:szCs w:val="20"/>
        </w:rPr>
        <w:t xml:space="preserve"> reducing the settlement and counterparty risks considerably for transactions in the said segments.</w:t>
      </w:r>
    </w:p>
    <w:p w14:paraId="00000344" w14:textId="77777777" w:rsidR="00546EC1" w:rsidRPr="00BA2938" w:rsidRDefault="00546EC1" w:rsidP="00BA2938">
      <w:pPr>
        <w:spacing w:after="0" w:line="240" w:lineRule="auto"/>
        <w:jc w:val="both"/>
        <w:rPr>
          <w:rFonts w:ascii="Titillium Web" w:hAnsi="Titillium Web"/>
          <w:sz w:val="20"/>
          <w:szCs w:val="20"/>
        </w:rPr>
      </w:pPr>
    </w:p>
    <w:p w14:paraId="0000034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CCIL maintains prefunded resources in all the clearing segments to cover potential losses arising from the default member. In the event of a clearing member failing to </w:t>
      </w:r>
      <w:proofErr w:type="spellStart"/>
      <w:r w:rsidRPr="00BA2938">
        <w:rPr>
          <w:rFonts w:ascii="Titillium Web" w:hAnsi="Titillium Web"/>
          <w:sz w:val="20"/>
          <w:szCs w:val="20"/>
        </w:rPr>
        <w:t>honour</w:t>
      </w:r>
      <w:proofErr w:type="spellEnd"/>
      <w:r w:rsidRPr="00BA2938">
        <w:rPr>
          <w:rFonts w:ascii="Titillium Web" w:hAnsi="Titillium Web"/>
          <w:sz w:val="20"/>
          <w:szCs w:val="20"/>
        </w:rPr>
        <w:t xml:space="preserve"> his settlement obligations, the default Fund is utilized to complete the settlement. The sequence in which the above resources are used is known as the “Default Waterfall”.</w:t>
      </w:r>
    </w:p>
    <w:p w14:paraId="00000346" w14:textId="77777777" w:rsidR="00546EC1" w:rsidRPr="00BA2938" w:rsidRDefault="00546EC1" w:rsidP="00BA2938">
      <w:pPr>
        <w:spacing w:after="0" w:line="240" w:lineRule="auto"/>
        <w:jc w:val="both"/>
        <w:rPr>
          <w:rFonts w:ascii="Titillium Web" w:hAnsi="Titillium Web"/>
          <w:sz w:val="20"/>
          <w:szCs w:val="20"/>
        </w:rPr>
      </w:pPr>
    </w:p>
    <w:p w14:paraId="0000034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As per the Waterfall mechanism, after the defaulter’s margins and the defaulter’s contribution to the default fund have been appropriated, CCIL’s contribution is used to meet the losses. Post utilization of CCIL’s contribution if there is a residual loss, it is appropriated from the default fund contributions of the non-defaulting members.</w:t>
      </w:r>
    </w:p>
    <w:p w14:paraId="00000348" w14:textId="77777777" w:rsidR="00546EC1" w:rsidRPr="00BA2938" w:rsidRDefault="00546EC1" w:rsidP="00BA2938">
      <w:pPr>
        <w:spacing w:after="0" w:line="240" w:lineRule="auto"/>
        <w:jc w:val="both"/>
        <w:rPr>
          <w:rFonts w:ascii="Titillium Web" w:hAnsi="Titillium Web"/>
          <w:sz w:val="20"/>
          <w:szCs w:val="20"/>
        </w:rPr>
      </w:pPr>
    </w:p>
    <w:p w14:paraId="00000349" w14:textId="77777777" w:rsidR="00546EC1" w:rsidRPr="00BA2938" w:rsidRDefault="00000000" w:rsidP="00BA2938">
      <w:pPr>
        <w:spacing w:after="0" w:line="240" w:lineRule="auto"/>
        <w:jc w:val="both"/>
        <w:rPr>
          <w:rFonts w:ascii="Titillium Web" w:hAnsi="Titillium Web"/>
          <w:sz w:val="20"/>
          <w:szCs w:val="20"/>
        </w:rPr>
      </w:pPr>
      <w:proofErr w:type="gramStart"/>
      <w:r w:rsidRPr="00BA2938">
        <w:rPr>
          <w:rFonts w:ascii="Titillium Web" w:hAnsi="Titillium Web"/>
          <w:sz w:val="20"/>
          <w:szCs w:val="20"/>
        </w:rPr>
        <w:t>Thus</w:t>
      </w:r>
      <w:proofErr w:type="gramEnd"/>
      <w:r w:rsidRPr="00BA2938">
        <w:rPr>
          <w:rFonts w:ascii="Titillium Web" w:hAnsi="Titillium Web"/>
          <w:sz w:val="20"/>
          <w:szCs w:val="20"/>
        </w:rPr>
        <w:t xml:space="preserve"> the scheme is subject to risk of the initial margin and default fund contribution being invoked in the event of failure of any settlement obligations. In addition, the fund contribution is allowed to be used to meet the residual loss in case of default by the other clearing member (the defaulting member).</w:t>
      </w:r>
    </w:p>
    <w:p w14:paraId="0000034A" w14:textId="77777777" w:rsidR="00546EC1" w:rsidRPr="00BA2938" w:rsidRDefault="00546EC1" w:rsidP="00BA2938">
      <w:pPr>
        <w:spacing w:after="0" w:line="240" w:lineRule="auto"/>
        <w:jc w:val="both"/>
        <w:rPr>
          <w:rFonts w:ascii="Titillium Web" w:hAnsi="Titillium Web"/>
          <w:sz w:val="20"/>
          <w:szCs w:val="20"/>
        </w:rPr>
      </w:pPr>
    </w:p>
    <w:p w14:paraId="0000034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However, it may be noted that a member shall have the right to submit resignation from the membership of the Security segment if it has taken a loss through replenishment of its contribution to the default fund for the segments and a loss threshold as notified have been reached. The maximum contribution of a member towards replenishment of its contribution to the default fund in the 7 days (30 days in case of securities segment) period </w:t>
      </w:r>
      <w:r w:rsidRPr="00BA2938">
        <w:rPr>
          <w:rFonts w:ascii="Titillium Web" w:hAnsi="Titillium Web"/>
          <w:sz w:val="20"/>
          <w:szCs w:val="20"/>
        </w:rPr>
        <w:lastRenderedPageBreak/>
        <w:t>immediately after the afore-mentioned loss threshold having been reached shall not exceed 5 times of its contribution to the Default Fund based on the last re- computation of the Default Fund or specified amount, whichever is lower.</w:t>
      </w:r>
    </w:p>
    <w:p w14:paraId="0000034C" w14:textId="77777777" w:rsidR="00546EC1" w:rsidRPr="00BA2938" w:rsidRDefault="00546EC1" w:rsidP="00BA2938">
      <w:pPr>
        <w:spacing w:after="0" w:line="240" w:lineRule="auto"/>
        <w:jc w:val="both"/>
        <w:rPr>
          <w:rFonts w:ascii="Titillium Web" w:hAnsi="Titillium Web"/>
          <w:sz w:val="20"/>
          <w:szCs w:val="20"/>
        </w:rPr>
      </w:pPr>
    </w:p>
    <w:p w14:paraId="0000034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Further, it may be noted that, CCIL periodically prescribes a list of securities eligible for contributions as collateral by members. Presently, all Central Government securities and Treasury bills are accepted as collateral by CCIL. The risk factors may undergo change in case the CCIL notifies securities other than Government of India securities as eligible for contribution as collateral.</w:t>
      </w:r>
    </w:p>
    <w:p w14:paraId="0000034E" w14:textId="77777777" w:rsidR="00546EC1" w:rsidRPr="00BA2938" w:rsidRDefault="00546EC1" w:rsidP="00BA2938">
      <w:pPr>
        <w:spacing w:after="0" w:line="240" w:lineRule="auto"/>
        <w:jc w:val="both"/>
        <w:rPr>
          <w:rFonts w:ascii="Titillium Web" w:hAnsi="Titillium Web"/>
          <w:b/>
          <w:sz w:val="20"/>
          <w:szCs w:val="20"/>
        </w:rPr>
      </w:pPr>
    </w:p>
    <w:p w14:paraId="0000034F"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Apart from the risk factors mentioned above, the scheme is exposed to certain specific risks, which are as mentioned below –</w:t>
      </w:r>
    </w:p>
    <w:p w14:paraId="00000350" w14:textId="77777777" w:rsidR="00546EC1" w:rsidRPr="00BA2938" w:rsidRDefault="00546EC1" w:rsidP="00BA2938">
      <w:pPr>
        <w:spacing w:after="0" w:line="240" w:lineRule="auto"/>
        <w:jc w:val="both"/>
        <w:rPr>
          <w:rFonts w:ascii="Titillium Web" w:hAnsi="Titillium Web"/>
          <w:sz w:val="20"/>
          <w:szCs w:val="20"/>
        </w:rPr>
      </w:pPr>
    </w:p>
    <w:p w14:paraId="00000351" w14:textId="77777777" w:rsidR="00546EC1" w:rsidRPr="00BA2938" w:rsidRDefault="00000000" w:rsidP="00BA2938">
      <w:pPr>
        <w:numPr>
          <w:ilvl w:val="0"/>
          <w:numId w:val="7"/>
        </w:numPr>
        <w:pBdr>
          <w:top w:val="nil"/>
          <w:left w:val="nil"/>
          <w:bottom w:val="nil"/>
          <w:right w:val="nil"/>
          <w:between w:val="nil"/>
        </w:pBdr>
        <w:spacing w:after="0" w:line="240" w:lineRule="auto"/>
        <w:ind w:left="360"/>
        <w:jc w:val="both"/>
        <w:rPr>
          <w:rFonts w:ascii="Titillium Web" w:hAnsi="Titillium Web"/>
          <w:color w:val="000000"/>
          <w:sz w:val="20"/>
          <w:szCs w:val="20"/>
        </w:rPr>
      </w:pPr>
      <w:r w:rsidRPr="00BA2938">
        <w:rPr>
          <w:rFonts w:ascii="Titillium Web" w:hAnsi="Titillium Web"/>
          <w:color w:val="000000"/>
          <w:sz w:val="20"/>
          <w:szCs w:val="20"/>
        </w:rPr>
        <w:t xml:space="preserve">Performance of </w:t>
      </w:r>
      <w:proofErr w:type="gramStart"/>
      <w:r w:rsidRPr="00BA2938">
        <w:rPr>
          <w:rFonts w:ascii="Titillium Web" w:hAnsi="Titillium Web"/>
          <w:color w:val="000000"/>
          <w:sz w:val="20"/>
          <w:szCs w:val="20"/>
        </w:rPr>
        <w:t>the  BSE</w:t>
      </w:r>
      <w:proofErr w:type="gramEnd"/>
      <w:r w:rsidRPr="00BA2938">
        <w:rPr>
          <w:rFonts w:ascii="Titillium Web" w:hAnsi="Titillium Web"/>
          <w:color w:val="000000"/>
          <w:sz w:val="20"/>
          <w:szCs w:val="20"/>
        </w:rPr>
        <w:t xml:space="preserve"> Sensex Index will have a direct bearing on the performance of the Scheme. In the event when the index is dissolved or is withdrawn, the Trustee reserves a right to modify the Scheme </w:t>
      </w:r>
      <w:proofErr w:type="gramStart"/>
      <w:r w:rsidRPr="00BA2938">
        <w:rPr>
          <w:rFonts w:ascii="Titillium Web" w:hAnsi="Titillium Web"/>
          <w:color w:val="000000"/>
          <w:sz w:val="20"/>
          <w:szCs w:val="20"/>
        </w:rPr>
        <w:t>so as to</w:t>
      </w:r>
      <w:proofErr w:type="gramEnd"/>
      <w:r w:rsidRPr="00BA2938">
        <w:rPr>
          <w:rFonts w:ascii="Titillium Web" w:hAnsi="Titillium Web"/>
          <w:color w:val="000000"/>
          <w:sz w:val="20"/>
          <w:szCs w:val="20"/>
        </w:rPr>
        <w:t xml:space="preserve"> track a different and suitable index and appropriate intimation will be sent to the unitholders of the Scheme. Provided that any change in the Underlying Index shall be </w:t>
      </w:r>
      <w:proofErr w:type="gramStart"/>
      <w:r w:rsidRPr="00BA2938">
        <w:rPr>
          <w:rFonts w:ascii="Titillium Web" w:hAnsi="Titillium Web"/>
          <w:color w:val="000000"/>
          <w:sz w:val="20"/>
          <w:szCs w:val="20"/>
        </w:rPr>
        <w:t>effected</w:t>
      </w:r>
      <w:proofErr w:type="gramEnd"/>
      <w:r w:rsidRPr="00BA2938">
        <w:rPr>
          <w:rFonts w:ascii="Titillium Web" w:hAnsi="Titillium Web"/>
          <w:color w:val="000000"/>
          <w:sz w:val="20"/>
          <w:szCs w:val="20"/>
        </w:rPr>
        <w:t xml:space="preserve"> only in accordance with the provisions of sub regulation (15A) of Regulation 18 of the Regulations, as detailed later in this document.</w:t>
      </w:r>
    </w:p>
    <w:p w14:paraId="00000352" w14:textId="77777777" w:rsidR="00546EC1" w:rsidRPr="00BA2938" w:rsidRDefault="00000000" w:rsidP="00BA2938">
      <w:pPr>
        <w:numPr>
          <w:ilvl w:val="0"/>
          <w:numId w:val="7"/>
        </w:numPr>
        <w:pBdr>
          <w:top w:val="nil"/>
          <w:left w:val="nil"/>
          <w:bottom w:val="nil"/>
          <w:right w:val="nil"/>
          <w:between w:val="nil"/>
        </w:pBdr>
        <w:spacing w:after="0" w:line="240" w:lineRule="auto"/>
        <w:ind w:left="360"/>
        <w:jc w:val="both"/>
        <w:rPr>
          <w:rFonts w:ascii="Titillium Web" w:hAnsi="Titillium Web"/>
          <w:color w:val="000000"/>
          <w:sz w:val="20"/>
          <w:szCs w:val="20"/>
        </w:rPr>
      </w:pPr>
      <w:r w:rsidRPr="00BA2938">
        <w:rPr>
          <w:rFonts w:ascii="Titillium Web" w:hAnsi="Titillium Web"/>
          <w:color w:val="000000"/>
          <w:sz w:val="20"/>
          <w:szCs w:val="20"/>
        </w:rPr>
        <w:t xml:space="preserve">In case of investments in derivative instruments like index, the risk/ reward would be the same as investments in portfolio of shares representing an index. However, there may be a cost attached to buying an index future. Further, there could be an element of settlement risk, which could be different from the risk in settling physical shares and there is a risk attached to the liquidity and the depth of the index futures market as it is relatively new market for Index </w:t>
      </w:r>
      <w:proofErr w:type="gramStart"/>
      <w:r w:rsidRPr="00BA2938">
        <w:rPr>
          <w:rFonts w:ascii="Titillium Web" w:hAnsi="Titillium Web"/>
          <w:color w:val="000000"/>
          <w:sz w:val="20"/>
          <w:szCs w:val="20"/>
        </w:rPr>
        <w:t>and also</w:t>
      </w:r>
      <w:proofErr w:type="gramEnd"/>
      <w:r w:rsidRPr="00BA2938">
        <w:rPr>
          <w:rFonts w:ascii="Titillium Web" w:hAnsi="Titillium Web"/>
          <w:color w:val="000000"/>
          <w:sz w:val="20"/>
          <w:szCs w:val="20"/>
        </w:rPr>
        <w:t xml:space="preserve"> it is relatively less popular as compared to the Index.</w:t>
      </w:r>
    </w:p>
    <w:p w14:paraId="00000353" w14:textId="77777777" w:rsidR="00546EC1" w:rsidRPr="00BA2938" w:rsidRDefault="00000000" w:rsidP="00BA2938">
      <w:pPr>
        <w:numPr>
          <w:ilvl w:val="0"/>
          <w:numId w:val="7"/>
        </w:numPr>
        <w:pBdr>
          <w:top w:val="nil"/>
          <w:left w:val="nil"/>
          <w:bottom w:val="nil"/>
          <w:right w:val="nil"/>
          <w:between w:val="nil"/>
        </w:pBdr>
        <w:spacing w:after="0" w:line="240" w:lineRule="auto"/>
        <w:ind w:left="360"/>
        <w:jc w:val="both"/>
        <w:rPr>
          <w:rFonts w:ascii="Titillium Web" w:hAnsi="Titillium Web"/>
          <w:color w:val="000000"/>
          <w:sz w:val="20"/>
          <w:szCs w:val="20"/>
        </w:rPr>
      </w:pPr>
      <w:bookmarkStart w:id="19" w:name="_heading=h.xa7wrn2wk4gs" w:colFirst="0" w:colLast="0"/>
      <w:bookmarkEnd w:id="19"/>
      <w:r w:rsidRPr="00BA2938">
        <w:rPr>
          <w:rFonts w:ascii="Titillium Web" w:hAnsi="Titillium Web"/>
          <w:color w:val="000000"/>
          <w:sz w:val="20"/>
          <w:szCs w:val="20"/>
        </w:rPr>
        <w:t xml:space="preserve">In the event of any of BSE Sensex Index being dissolved or is withdrawn by Asia Index Private Limited (AIPL) or is not published due to any reason whatsoever, the Trustee reserves the right to modify the Scheme so as track a different and suitable index or to suspend tracking BSE Sensex Index till such time it is dissolved/ withdrawn or not published and appropriate intimation will be sent to the Unitholders of the Scheme. In such a case, the investment pattern will be modified suitably to match the composition of the securities that are included in the new index to be </w:t>
      </w:r>
      <w:proofErr w:type="gramStart"/>
      <w:r w:rsidRPr="00BA2938">
        <w:rPr>
          <w:rFonts w:ascii="Titillium Web" w:hAnsi="Titillium Web"/>
          <w:color w:val="000000"/>
          <w:sz w:val="20"/>
          <w:szCs w:val="20"/>
        </w:rPr>
        <w:t>tracked</w:t>
      </w:r>
      <w:proofErr w:type="gramEnd"/>
      <w:r w:rsidRPr="00BA2938">
        <w:rPr>
          <w:rFonts w:ascii="Titillium Web" w:hAnsi="Titillium Web"/>
          <w:color w:val="000000"/>
          <w:sz w:val="20"/>
          <w:szCs w:val="20"/>
        </w:rPr>
        <w:t xml:space="preserve"> and the Scheme will be subject to tracking errors during the intervening period.</w:t>
      </w:r>
    </w:p>
    <w:p w14:paraId="00000354" w14:textId="77777777" w:rsidR="00546EC1" w:rsidRPr="00BA2938" w:rsidRDefault="00546EC1" w:rsidP="00BA2938">
      <w:pPr>
        <w:spacing w:after="0" w:line="240" w:lineRule="auto"/>
        <w:jc w:val="both"/>
        <w:rPr>
          <w:rFonts w:ascii="Titillium Web" w:hAnsi="Titillium Web"/>
          <w:sz w:val="20"/>
          <w:szCs w:val="20"/>
        </w:rPr>
      </w:pPr>
    </w:p>
    <w:p w14:paraId="00000355" w14:textId="77777777" w:rsidR="00546EC1" w:rsidRPr="00BA2938" w:rsidRDefault="00000000" w:rsidP="00BA2938">
      <w:pPr>
        <w:pStyle w:val="Heading2"/>
        <w:spacing w:before="0" w:line="240" w:lineRule="auto"/>
        <w:jc w:val="both"/>
        <w:rPr>
          <w:rFonts w:ascii="Titillium Web" w:eastAsia="Calibri" w:hAnsi="Titillium Web" w:cs="Calibri"/>
          <w:b/>
          <w:color w:val="000000"/>
          <w:sz w:val="20"/>
          <w:szCs w:val="20"/>
        </w:rPr>
      </w:pPr>
      <w:bookmarkStart w:id="20" w:name="_heading=h.7nzkizaqmm67" w:colFirst="0" w:colLast="0"/>
      <w:bookmarkEnd w:id="20"/>
      <w:r w:rsidRPr="00BA2938">
        <w:rPr>
          <w:rFonts w:ascii="Titillium Web" w:eastAsia="Calibri" w:hAnsi="Titillium Web" w:cs="Calibri"/>
          <w:b/>
          <w:color w:val="000000"/>
          <w:sz w:val="20"/>
          <w:szCs w:val="20"/>
        </w:rPr>
        <w:t>Risk Mitigation Process:</w:t>
      </w:r>
    </w:p>
    <w:p w14:paraId="0000035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Scheme by utilizing a holistic risk management strategy will endeavor to manage risks associated with investing in equity and debt markets. The risk control process involves identifying &amp; measuring the risk through various risk measurement tools. </w:t>
      </w:r>
    </w:p>
    <w:p w14:paraId="00000357" w14:textId="77777777" w:rsidR="00546EC1" w:rsidRPr="00BA2938" w:rsidRDefault="00546EC1" w:rsidP="00BA2938">
      <w:pPr>
        <w:spacing w:after="0" w:line="240" w:lineRule="auto"/>
        <w:jc w:val="both"/>
        <w:rPr>
          <w:rFonts w:ascii="Titillium Web" w:hAnsi="Titillium Web"/>
          <w:sz w:val="20"/>
          <w:szCs w:val="20"/>
        </w:rPr>
      </w:pPr>
    </w:p>
    <w:p w14:paraId="0000035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has identified following risks of investing in equity and debt securities and designed risk management strategies, which are embedded in the investment process to manage such risks.</w:t>
      </w:r>
    </w:p>
    <w:p w14:paraId="00000359" w14:textId="77777777" w:rsidR="00546EC1" w:rsidRPr="00BA2938" w:rsidRDefault="00546EC1" w:rsidP="00BA2938">
      <w:pPr>
        <w:spacing w:after="0" w:line="240" w:lineRule="auto"/>
        <w:jc w:val="both"/>
        <w:rPr>
          <w:rFonts w:ascii="Titillium Web" w:hAnsi="Titillium Web"/>
          <w:sz w:val="20"/>
          <w:szCs w:val="20"/>
        </w:rPr>
      </w:pPr>
    </w:p>
    <w:tbl>
      <w:tblPr>
        <w:tblStyle w:val="a4"/>
        <w:tblW w:w="9344" w:type="dxa"/>
        <w:tblBorders>
          <w:top w:val="nil"/>
          <w:left w:val="nil"/>
          <w:bottom w:val="nil"/>
          <w:right w:val="nil"/>
          <w:insideH w:val="nil"/>
          <w:insideV w:val="nil"/>
        </w:tblBorders>
        <w:tblLayout w:type="fixed"/>
        <w:tblLook w:val="0600" w:firstRow="0" w:lastRow="0" w:firstColumn="0" w:lastColumn="0" w:noHBand="1" w:noVBand="1"/>
      </w:tblPr>
      <w:tblGrid>
        <w:gridCol w:w="4749"/>
        <w:gridCol w:w="4595"/>
      </w:tblGrid>
      <w:tr w:rsidR="00546EC1" w:rsidRPr="00BA2938" w14:paraId="0068B319" w14:textId="77777777">
        <w:trPr>
          <w:trHeight w:val="215"/>
        </w:trPr>
        <w:tc>
          <w:tcPr>
            <w:tcW w:w="9344" w:type="dxa"/>
            <w:gridSpan w:val="2"/>
            <w:tcBorders>
              <w:top w:val="single" w:sz="6" w:space="0" w:color="000000"/>
              <w:left w:val="single" w:sz="6" w:space="0" w:color="000000"/>
              <w:bottom w:val="nil"/>
              <w:right w:val="single" w:sz="6" w:space="0" w:color="000000"/>
            </w:tcBorders>
            <w:tcMar>
              <w:top w:w="100" w:type="dxa"/>
              <w:left w:w="100" w:type="dxa"/>
              <w:bottom w:w="100" w:type="dxa"/>
              <w:right w:w="100" w:type="dxa"/>
            </w:tcMar>
          </w:tcPr>
          <w:p w14:paraId="0000035A"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associated with Equity investments</w:t>
            </w:r>
          </w:p>
        </w:tc>
      </w:tr>
      <w:tr w:rsidR="00546EC1" w:rsidRPr="00BA2938" w14:paraId="4BAB83E6" w14:textId="77777777">
        <w:trPr>
          <w:trHeight w:val="3888"/>
        </w:trPr>
        <w:tc>
          <w:tcPr>
            <w:tcW w:w="4749" w:type="dxa"/>
            <w:tcBorders>
              <w:top w:val="single" w:sz="6" w:space="0" w:color="000000"/>
              <w:left w:val="single" w:sz="6" w:space="0" w:color="000000"/>
              <w:bottom w:val="single" w:sz="4" w:space="0" w:color="000000"/>
              <w:right w:val="single" w:sz="6" w:space="0" w:color="000000"/>
            </w:tcBorders>
            <w:shd w:val="clear" w:color="auto" w:fill="auto"/>
            <w:tcMar>
              <w:top w:w="100" w:type="dxa"/>
              <w:left w:w="100" w:type="dxa"/>
              <w:bottom w:w="100" w:type="dxa"/>
              <w:right w:w="100" w:type="dxa"/>
            </w:tcMar>
          </w:tcPr>
          <w:p w14:paraId="0000035C"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lastRenderedPageBreak/>
              <w:t>Market Risk</w:t>
            </w:r>
          </w:p>
          <w:p w14:paraId="0000035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is vulnerable to movements in the prices of securities invested by the Scheme, which could have a material bearing on the overall returns from the Scheme. The value of the underlying Scheme investments, may be affected generally by factors affecting securities markets, such as price and volume, volatility in the capital markets, interest rates, currency exchange rates, changes in policies of the Government, taxation laws or any other appropriate authority policies and other political and economic developments which may have an adverse bearing on individual securities, a specific sector or all sectors including equity and debt markets.</w:t>
            </w:r>
          </w:p>
        </w:tc>
        <w:tc>
          <w:tcPr>
            <w:tcW w:w="4595" w:type="dxa"/>
            <w:tcBorders>
              <w:top w:val="single" w:sz="6" w:space="0" w:color="000000"/>
              <w:left w:val="nil"/>
              <w:bottom w:val="single" w:sz="4" w:space="0" w:color="000000"/>
              <w:right w:val="single" w:sz="6" w:space="0" w:color="000000"/>
            </w:tcBorders>
            <w:shd w:val="clear" w:color="auto" w:fill="auto"/>
            <w:tcMar>
              <w:top w:w="100" w:type="dxa"/>
              <w:left w:w="100" w:type="dxa"/>
              <w:bottom w:w="100" w:type="dxa"/>
              <w:right w:w="100" w:type="dxa"/>
            </w:tcMar>
          </w:tcPr>
          <w:p w14:paraId="0000035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 </w:t>
            </w:r>
          </w:p>
          <w:p w14:paraId="0000035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Market risk is inherent to an equity scheme. Being a passively managed scheme, it will invest in the securities included in its Underlying Index.</w:t>
            </w:r>
          </w:p>
        </w:tc>
      </w:tr>
      <w:tr w:rsidR="00546EC1" w:rsidRPr="00BA2938" w14:paraId="0DEFE2C7" w14:textId="77777777">
        <w:trPr>
          <w:trHeight w:val="2248"/>
        </w:trPr>
        <w:tc>
          <w:tcPr>
            <w:tcW w:w="474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360"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Derivatives Risk</w:t>
            </w:r>
          </w:p>
          <w:p w14:paraId="0000036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As and when the Scheme trades in the derivatives market there are risk factors and issues concerning the use of derivatives since derivative products are specialized instruments that require investment techniques and risk analyses different from those associated with stocks and bonds.</w:t>
            </w:r>
          </w:p>
        </w:tc>
        <w:tc>
          <w:tcPr>
            <w:tcW w:w="45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362"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may invest in derivative for the purpose of hedging, portfolio balancing and other purposes as may be permitted under the Regulations. Derivatives will be used in the form of Index Futures, Stock Futures and other instruments as may be permitted by SEBI. All derivatives trade will be done only on the exchange with guaranteed settlement. No OTC contracts will be entered into.</w:t>
            </w:r>
          </w:p>
        </w:tc>
      </w:tr>
      <w:tr w:rsidR="00546EC1" w:rsidRPr="00BA2938" w14:paraId="46DBB473" w14:textId="77777777">
        <w:trPr>
          <w:trHeight w:val="1181"/>
        </w:trPr>
        <w:tc>
          <w:tcPr>
            <w:tcW w:w="474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363"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Liquidity risk</w:t>
            </w:r>
          </w:p>
          <w:p w14:paraId="0000036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liquidity of the Scheme’s investments is inherently restricted by trading volumes in the securities in which they </w:t>
            </w:r>
            <w:proofErr w:type="gramStart"/>
            <w:r w:rsidRPr="00BA2938">
              <w:rPr>
                <w:rFonts w:ascii="Titillium Web" w:hAnsi="Titillium Web"/>
                <w:sz w:val="20"/>
                <w:szCs w:val="20"/>
              </w:rPr>
              <w:t>invests</w:t>
            </w:r>
            <w:proofErr w:type="gramEnd"/>
            <w:r w:rsidRPr="00BA2938">
              <w:rPr>
                <w:rFonts w:ascii="Titillium Web" w:hAnsi="Titillium Web"/>
                <w:sz w:val="20"/>
                <w:szCs w:val="20"/>
              </w:rPr>
              <w:t>.</w:t>
            </w:r>
          </w:p>
        </w:tc>
        <w:tc>
          <w:tcPr>
            <w:tcW w:w="45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36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As such the liquidity of stocks that the scheme invests into could be relatively low. The fund will try to maintain a proper asset-liability match to ensure redemption payments are made on time and not affected by illiquidity of the underlying stocks.</w:t>
            </w:r>
          </w:p>
        </w:tc>
      </w:tr>
      <w:tr w:rsidR="00546EC1" w:rsidRPr="00BA2938" w14:paraId="75A6768B" w14:textId="77777777">
        <w:trPr>
          <w:trHeight w:val="3151"/>
        </w:trPr>
        <w:tc>
          <w:tcPr>
            <w:tcW w:w="4749" w:type="dxa"/>
            <w:tcBorders>
              <w:top w:val="single" w:sz="4"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0000366"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Tracking Error risk (Volatility Concentration risk):</w:t>
            </w:r>
          </w:p>
          <w:p w14:paraId="0000036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performance of the Scheme may not be commensurate with the performance of the underlying Index on any given day or over any given period</w:t>
            </w:r>
          </w:p>
        </w:tc>
        <w:tc>
          <w:tcPr>
            <w:tcW w:w="4595" w:type="dxa"/>
            <w:tcBorders>
              <w:top w:val="single" w:sz="4"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14:paraId="0000036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Over a short to medium period, the Scheme may carry the risk of variance between portfolio composition and Benchmark. The objectives of the Scheme are to track the performance of the Underlying Index over the same period, subject to tracking error. </w:t>
            </w:r>
          </w:p>
          <w:p w14:paraId="0000036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would endeavor to maintain a low tracking error by actively aligning the portfolio in line with the Index.</w:t>
            </w:r>
          </w:p>
        </w:tc>
      </w:tr>
    </w:tbl>
    <w:p w14:paraId="0000036A" w14:textId="77777777" w:rsidR="00546EC1" w:rsidRPr="00BA2938" w:rsidRDefault="00546EC1" w:rsidP="00BA2938">
      <w:pPr>
        <w:spacing w:after="0" w:line="240" w:lineRule="auto"/>
        <w:jc w:val="both"/>
        <w:rPr>
          <w:rFonts w:ascii="Titillium Web" w:hAnsi="Titillium Web"/>
          <w:sz w:val="20"/>
          <w:szCs w:val="20"/>
        </w:rPr>
      </w:pPr>
    </w:p>
    <w:p w14:paraId="0000036B" w14:textId="77777777" w:rsidR="00546EC1" w:rsidRPr="00BA2938" w:rsidRDefault="00546EC1" w:rsidP="00BA2938">
      <w:pPr>
        <w:spacing w:after="0" w:line="240" w:lineRule="auto"/>
        <w:jc w:val="both"/>
        <w:rPr>
          <w:rFonts w:ascii="Titillium Web" w:hAnsi="Titillium Web"/>
          <w:sz w:val="20"/>
          <w:szCs w:val="20"/>
        </w:rPr>
      </w:pPr>
    </w:p>
    <w:tbl>
      <w:tblPr>
        <w:tblStyle w:val="a5"/>
        <w:tblW w:w="9010" w:type="dxa"/>
        <w:tblBorders>
          <w:top w:val="nil"/>
          <w:left w:val="nil"/>
          <w:bottom w:val="nil"/>
          <w:right w:val="nil"/>
          <w:insideH w:val="nil"/>
          <w:insideV w:val="nil"/>
        </w:tblBorders>
        <w:tblLayout w:type="fixed"/>
        <w:tblLook w:val="0600" w:firstRow="0" w:lastRow="0" w:firstColumn="0" w:lastColumn="0" w:noHBand="1" w:noVBand="1"/>
      </w:tblPr>
      <w:tblGrid>
        <w:gridCol w:w="4670"/>
        <w:gridCol w:w="4340"/>
      </w:tblGrid>
      <w:tr w:rsidR="00546EC1" w:rsidRPr="00BA2938" w14:paraId="0E1E9960" w14:textId="77777777">
        <w:trPr>
          <w:trHeight w:val="169"/>
        </w:trPr>
        <w:tc>
          <w:tcPr>
            <w:tcW w:w="467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000036C"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sz w:val="20"/>
                <w:szCs w:val="20"/>
              </w:rPr>
              <w:t xml:space="preserve"> </w:t>
            </w:r>
            <w:r w:rsidRPr="00BA2938">
              <w:rPr>
                <w:rFonts w:ascii="Titillium Web" w:hAnsi="Titillium Web"/>
                <w:b/>
                <w:sz w:val="20"/>
                <w:szCs w:val="20"/>
              </w:rPr>
              <w:t>Risks associated with Debt investment</w:t>
            </w:r>
          </w:p>
        </w:tc>
        <w:tc>
          <w:tcPr>
            <w:tcW w:w="4340" w:type="dxa"/>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14:paraId="0000036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 </w:t>
            </w:r>
          </w:p>
        </w:tc>
      </w:tr>
      <w:tr w:rsidR="00546EC1" w:rsidRPr="00BA2938" w14:paraId="46EEBA7C" w14:textId="77777777">
        <w:trPr>
          <w:trHeight w:val="3738"/>
        </w:trPr>
        <w:tc>
          <w:tcPr>
            <w:tcW w:w="4670" w:type="dxa"/>
            <w:tcBorders>
              <w:top w:val="nil"/>
              <w:left w:val="single" w:sz="6" w:space="0" w:color="000000"/>
              <w:bottom w:val="single" w:sz="4" w:space="0" w:color="000000"/>
              <w:right w:val="single" w:sz="6" w:space="0" w:color="000000"/>
            </w:tcBorders>
            <w:shd w:val="clear" w:color="auto" w:fill="auto"/>
            <w:tcMar>
              <w:top w:w="100" w:type="dxa"/>
              <w:left w:w="100" w:type="dxa"/>
              <w:bottom w:w="100" w:type="dxa"/>
              <w:right w:w="100" w:type="dxa"/>
            </w:tcMar>
          </w:tcPr>
          <w:p w14:paraId="0000036E"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Market Risk/ Interest Rate Risk</w:t>
            </w:r>
          </w:p>
          <w:p w14:paraId="0000036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As with all debt securities, changes in interest rates may affect the Scheme’s Net Asset Value as the prices of securities generally increase as interest rates decline and generally decrease as interest rates rise. Prices of long-term securities generally fluctuate more in response to interest rate changes than do short-term securities. Indian debt markets can be volatile leading to the possibility of price movements up or down in fixed income securities and thereby to possible movements in the NAV.</w:t>
            </w:r>
          </w:p>
        </w:tc>
        <w:tc>
          <w:tcPr>
            <w:tcW w:w="4340" w:type="dxa"/>
            <w:tcBorders>
              <w:top w:val="nil"/>
              <w:left w:val="nil"/>
              <w:bottom w:val="single" w:sz="4" w:space="0" w:color="000000"/>
              <w:right w:val="single" w:sz="6" w:space="0" w:color="000000"/>
            </w:tcBorders>
            <w:shd w:val="clear" w:color="auto" w:fill="auto"/>
            <w:tcMar>
              <w:top w:w="100" w:type="dxa"/>
              <w:left w:w="100" w:type="dxa"/>
              <w:bottom w:w="100" w:type="dxa"/>
              <w:right w:w="100" w:type="dxa"/>
            </w:tcMar>
          </w:tcPr>
          <w:p w14:paraId="0000037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may primarily invest in short to medium duration debt and money market instruments thereby mitigating the price volatility due to interest rate changes generally associated with long-term securities.</w:t>
            </w:r>
          </w:p>
        </w:tc>
      </w:tr>
      <w:tr w:rsidR="00546EC1" w:rsidRPr="00BA2938" w14:paraId="4F75133E" w14:textId="77777777">
        <w:trPr>
          <w:trHeight w:val="2257"/>
        </w:trPr>
        <w:tc>
          <w:tcPr>
            <w:tcW w:w="46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371"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Liquidity or Marketability Risk</w:t>
            </w:r>
          </w:p>
          <w:p w14:paraId="00000372"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This refers to the ease with which a security can be sold at or near to its valuation yield-to-maturity (YTM).</w:t>
            </w:r>
          </w:p>
        </w:tc>
        <w:tc>
          <w:tcPr>
            <w:tcW w:w="43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37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may invest in government securities, corporate bonds and money market instruments. While the liquidity risk for government securities, money market instruments and short maturity corporate bonds may be low, it may be high in case of medium to long maturity corporate bonds.</w:t>
            </w:r>
          </w:p>
          <w:p w14:paraId="0000037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endeavors to minimize liquidity risk by investing in securities having a relatively liquid market.</w:t>
            </w:r>
          </w:p>
        </w:tc>
      </w:tr>
      <w:tr w:rsidR="00546EC1" w:rsidRPr="00BA2938" w14:paraId="59701673" w14:textId="77777777">
        <w:trPr>
          <w:trHeight w:val="1258"/>
        </w:trPr>
        <w:tc>
          <w:tcPr>
            <w:tcW w:w="4670" w:type="dxa"/>
            <w:tcBorders>
              <w:top w:val="single" w:sz="4"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0000375"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Credit Risk</w:t>
            </w:r>
          </w:p>
          <w:p w14:paraId="0000037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Credit risk or default risk refers to the risk that an issuer of a fixed income security may default (i.e., will 3be unable to make timely principal and interest payments on the security).</w:t>
            </w:r>
          </w:p>
        </w:tc>
        <w:tc>
          <w:tcPr>
            <w:tcW w:w="4340" w:type="dxa"/>
            <w:tcBorders>
              <w:top w:val="single" w:sz="4"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14:paraId="0000037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Management analysis will be used for identifying company specific risks. Management’s past track record will also be studied. </w:t>
            </w:r>
            <w:proofErr w:type="gramStart"/>
            <w:r w:rsidRPr="00BA2938">
              <w:rPr>
                <w:rFonts w:ascii="Titillium Web" w:hAnsi="Titillium Web"/>
                <w:sz w:val="20"/>
                <w:szCs w:val="20"/>
              </w:rPr>
              <w:t>In order to</w:t>
            </w:r>
            <w:proofErr w:type="gramEnd"/>
            <w:r w:rsidRPr="00BA2938">
              <w:rPr>
                <w:rFonts w:ascii="Titillium Web" w:hAnsi="Titillium Web"/>
                <w:sz w:val="20"/>
                <w:szCs w:val="20"/>
              </w:rPr>
              <w:t xml:space="preserve"> assess financial risk a detailed assessment of the issuer’s financial statements will be undertaken.</w:t>
            </w:r>
          </w:p>
        </w:tc>
      </w:tr>
      <w:tr w:rsidR="00546EC1" w:rsidRPr="00BA2938" w14:paraId="3C1A2D51" w14:textId="77777777">
        <w:trPr>
          <w:trHeight w:val="1655"/>
        </w:trPr>
        <w:tc>
          <w:tcPr>
            <w:tcW w:w="46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0000378"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Reinvestment Risk</w:t>
            </w:r>
          </w:p>
          <w:p w14:paraId="0000037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This risk refers to the interest rate levels at which cash flows received from the securities in the Schemes are reinvested </w:t>
            </w:r>
            <w:proofErr w:type="gramStart"/>
            <w:r w:rsidRPr="00BA2938">
              <w:rPr>
                <w:rFonts w:ascii="Titillium Web" w:hAnsi="Titillium Web"/>
                <w:sz w:val="20"/>
                <w:szCs w:val="20"/>
              </w:rPr>
              <w:t>The</w:t>
            </w:r>
            <w:proofErr w:type="gramEnd"/>
            <w:r w:rsidRPr="00BA2938">
              <w:rPr>
                <w:rFonts w:ascii="Titillium Web" w:hAnsi="Titillium Web"/>
                <w:sz w:val="20"/>
                <w:szCs w:val="20"/>
              </w:rPr>
              <w:t xml:space="preserve"> risk is that the rate at which interim cash flows can be reinvested may be lower than that originally assumed.</w:t>
            </w:r>
          </w:p>
        </w:tc>
        <w:tc>
          <w:tcPr>
            <w:tcW w:w="434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000037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Reinvestment risks will be limited to the extent of coupons received on debt instruments, which will be a very small portion of the portfolio value.</w:t>
            </w:r>
          </w:p>
        </w:tc>
      </w:tr>
    </w:tbl>
    <w:p w14:paraId="3F7C6434" w14:textId="7B5E3EB1" w:rsidR="00DC7F05" w:rsidRDefault="00DC7F05">
      <w:pPr>
        <w:rPr>
          <w:rFonts w:ascii="Titillium Web" w:hAnsi="Titillium Web"/>
          <w:b/>
          <w:color w:val="000000"/>
          <w:sz w:val="28"/>
          <w:szCs w:val="28"/>
        </w:rPr>
      </w:pPr>
      <w:bookmarkStart w:id="21" w:name="_heading=h.sdcqev7gwry4" w:colFirst="0" w:colLast="0"/>
      <w:bookmarkEnd w:id="21"/>
    </w:p>
    <w:p w14:paraId="0000037C" w14:textId="7E312C46" w:rsidR="00546EC1" w:rsidRDefault="00000000" w:rsidP="00FA14F4">
      <w:pPr>
        <w:pStyle w:val="Heading1"/>
        <w:spacing w:before="0" w:line="240" w:lineRule="auto"/>
        <w:jc w:val="center"/>
        <w:rPr>
          <w:rFonts w:ascii="Titillium Web" w:eastAsia="Calibri" w:hAnsi="Titillium Web" w:cs="Calibri"/>
          <w:b/>
          <w:color w:val="000000"/>
          <w:sz w:val="28"/>
          <w:szCs w:val="28"/>
        </w:rPr>
      </w:pPr>
      <w:r w:rsidRPr="00BA2938">
        <w:rPr>
          <w:rFonts w:ascii="Titillium Web" w:eastAsia="Calibri" w:hAnsi="Titillium Web" w:cs="Calibri"/>
          <w:b/>
          <w:color w:val="000000"/>
          <w:sz w:val="28"/>
          <w:szCs w:val="28"/>
        </w:rPr>
        <w:lastRenderedPageBreak/>
        <w:t>Navi Nifty IT Index Fund</w:t>
      </w:r>
    </w:p>
    <w:p w14:paraId="1FA65D20" w14:textId="77777777" w:rsidR="00BA2938" w:rsidRPr="00BA2938" w:rsidRDefault="00BA2938" w:rsidP="00BA2938"/>
    <w:p w14:paraId="0000037D"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b/>
          <w:sz w:val="20"/>
          <w:szCs w:val="20"/>
        </w:rPr>
      </w:pPr>
      <w:r w:rsidRPr="00BA2938">
        <w:rPr>
          <w:rFonts w:ascii="Titillium Web" w:hAnsi="Titillium Web"/>
          <w:b/>
          <w:sz w:val="20"/>
          <w:szCs w:val="20"/>
        </w:rPr>
        <w:t>Scheme Specific Risk Factors</w:t>
      </w:r>
    </w:p>
    <w:p w14:paraId="0000037E" w14:textId="77777777" w:rsidR="00546EC1" w:rsidRPr="00BA2938" w:rsidRDefault="00000000" w:rsidP="00BA2938">
      <w:pPr>
        <w:pBdr>
          <w:top w:val="nil"/>
          <w:left w:val="nil"/>
          <w:bottom w:val="nil"/>
          <w:right w:val="nil"/>
          <w:between w:val="nil"/>
        </w:pBdr>
        <w:tabs>
          <w:tab w:val="left" w:pos="142"/>
          <w:tab w:val="left" w:pos="284"/>
        </w:tabs>
        <w:spacing w:after="0" w:line="240" w:lineRule="auto"/>
        <w:jc w:val="both"/>
        <w:rPr>
          <w:rFonts w:ascii="Titillium Web" w:hAnsi="Titillium Web"/>
          <w:sz w:val="20"/>
          <w:szCs w:val="20"/>
        </w:rPr>
      </w:pPr>
      <w:r w:rsidRPr="00BA2938">
        <w:rPr>
          <w:rFonts w:ascii="Titillium Web" w:hAnsi="Titillium Web"/>
          <w:sz w:val="20"/>
          <w:szCs w:val="20"/>
        </w:rPr>
        <w:t xml:space="preserve">The Scheme is subject to the risks described below. Some or </w:t>
      </w:r>
      <w:proofErr w:type="gramStart"/>
      <w:r w:rsidRPr="00BA2938">
        <w:rPr>
          <w:rFonts w:ascii="Titillium Web" w:hAnsi="Titillium Web"/>
          <w:sz w:val="20"/>
          <w:szCs w:val="20"/>
        </w:rPr>
        <w:t>all of</w:t>
      </w:r>
      <w:proofErr w:type="gramEnd"/>
      <w:r w:rsidRPr="00BA2938">
        <w:rPr>
          <w:rFonts w:ascii="Titillium Web" w:hAnsi="Titillium Web"/>
          <w:sz w:val="20"/>
          <w:szCs w:val="20"/>
        </w:rPr>
        <w:t xml:space="preserve"> these risks may adversely affect   Scheme’s NAV, trading price, yield, return and/or its ability to meet its objectives.</w:t>
      </w:r>
    </w:p>
    <w:p w14:paraId="0000037F" w14:textId="77777777" w:rsidR="00546EC1" w:rsidRPr="00BA2938" w:rsidRDefault="00000000" w:rsidP="00BA2938">
      <w:pPr>
        <w:pBdr>
          <w:top w:val="nil"/>
          <w:left w:val="nil"/>
          <w:bottom w:val="nil"/>
          <w:right w:val="nil"/>
          <w:between w:val="nil"/>
        </w:pBdr>
        <w:tabs>
          <w:tab w:val="left" w:pos="142"/>
          <w:tab w:val="left" w:pos="284"/>
        </w:tabs>
        <w:spacing w:after="0" w:line="240" w:lineRule="auto"/>
        <w:jc w:val="both"/>
        <w:rPr>
          <w:rFonts w:ascii="Titillium Web" w:hAnsi="Titillium Web"/>
          <w:sz w:val="20"/>
          <w:szCs w:val="20"/>
        </w:rPr>
      </w:pPr>
      <w:r w:rsidRPr="00BA2938">
        <w:rPr>
          <w:rFonts w:ascii="Titillium Web" w:hAnsi="Titillium Web"/>
          <w:sz w:val="20"/>
          <w:szCs w:val="20"/>
        </w:rPr>
        <w:t xml:space="preserve">Risk associated with investing in companies forming part of Nifty IT Index: </w:t>
      </w:r>
    </w:p>
    <w:p w14:paraId="00000380" w14:textId="77777777" w:rsidR="00546EC1" w:rsidRPr="00BA2938" w:rsidRDefault="00000000" w:rsidP="00BA2938">
      <w:pPr>
        <w:pBdr>
          <w:top w:val="nil"/>
          <w:left w:val="nil"/>
          <w:bottom w:val="nil"/>
          <w:right w:val="nil"/>
          <w:between w:val="nil"/>
        </w:pBdr>
        <w:tabs>
          <w:tab w:val="left" w:pos="142"/>
          <w:tab w:val="left" w:pos="284"/>
        </w:tabs>
        <w:spacing w:after="0" w:line="240" w:lineRule="auto"/>
        <w:jc w:val="both"/>
        <w:rPr>
          <w:rFonts w:ascii="Titillium Web" w:hAnsi="Titillium Web"/>
          <w:sz w:val="20"/>
          <w:szCs w:val="20"/>
        </w:rPr>
      </w:pPr>
      <w:r w:rsidRPr="00BA2938">
        <w:rPr>
          <w:rFonts w:ascii="Titillium Web" w:hAnsi="Titillium Web"/>
          <w:sz w:val="20"/>
          <w:szCs w:val="20"/>
        </w:rPr>
        <w:t xml:space="preserve">The scheme tracks benchmark index which comprises of companies engaged into activities such as IT infrastructure, IT education and software training, networking infrastructure, software development, hardware, IT support and maintenance etc. The scheme being passively managed invests in stocks of the underlying index and will therefore be subject to the risks associated with concentration of investments in a particular company/sector(s). The weightage of each stock in the index is capped at the time of re-balancing of the index, which may aid in limiting concentration risk. In addition, the scheme may be subject to following sector specific risks including but not limited to: </w:t>
      </w:r>
    </w:p>
    <w:p w14:paraId="00000381" w14:textId="77777777" w:rsidR="00546EC1" w:rsidRPr="00BA2938" w:rsidRDefault="00546EC1" w:rsidP="00BA2938">
      <w:pPr>
        <w:pBdr>
          <w:top w:val="nil"/>
          <w:left w:val="nil"/>
          <w:bottom w:val="nil"/>
          <w:right w:val="nil"/>
          <w:between w:val="nil"/>
        </w:pBdr>
        <w:tabs>
          <w:tab w:val="left" w:pos="142"/>
          <w:tab w:val="left" w:pos="284"/>
        </w:tabs>
        <w:spacing w:after="0" w:line="240" w:lineRule="auto"/>
        <w:jc w:val="both"/>
        <w:rPr>
          <w:rFonts w:ascii="Titillium Web" w:hAnsi="Titillium Web"/>
          <w:sz w:val="20"/>
          <w:szCs w:val="20"/>
        </w:rPr>
      </w:pPr>
    </w:p>
    <w:p w14:paraId="00000382" w14:textId="77777777" w:rsidR="00546EC1" w:rsidRPr="00BA2938" w:rsidRDefault="00000000" w:rsidP="00BA2938">
      <w:pPr>
        <w:widowControl w:val="0"/>
        <w:numPr>
          <w:ilvl w:val="0"/>
          <w:numId w:val="9"/>
        </w:numPr>
        <w:pBdr>
          <w:top w:val="nil"/>
          <w:left w:val="nil"/>
          <w:bottom w:val="nil"/>
          <w:right w:val="nil"/>
          <w:between w:val="nil"/>
        </w:pBdr>
        <w:tabs>
          <w:tab w:val="left" w:pos="142"/>
          <w:tab w:val="left" w:pos="284"/>
          <w:tab w:val="left" w:pos="1600"/>
        </w:tabs>
        <w:spacing w:after="0" w:line="240" w:lineRule="auto"/>
        <w:ind w:left="270" w:hanging="270"/>
        <w:jc w:val="both"/>
        <w:rPr>
          <w:rFonts w:ascii="Titillium Web" w:hAnsi="Titillium Web"/>
          <w:sz w:val="20"/>
          <w:szCs w:val="20"/>
        </w:rPr>
      </w:pPr>
      <w:r w:rsidRPr="00BA2938">
        <w:rPr>
          <w:rFonts w:ascii="Titillium Web" w:hAnsi="Titillium Web"/>
          <w:sz w:val="20"/>
          <w:szCs w:val="20"/>
        </w:rPr>
        <w:t xml:space="preserve">Loss of Key Professionals: In technology industries the ability to recruit and retain professionals with the necessary technical skills can be crucial to the ongoing success of the </w:t>
      </w:r>
      <w:proofErr w:type="spellStart"/>
      <w:r w:rsidRPr="00BA2938">
        <w:rPr>
          <w:rFonts w:ascii="Titillium Web" w:hAnsi="Titillium Web"/>
          <w:sz w:val="20"/>
          <w:szCs w:val="20"/>
        </w:rPr>
        <w:t>organisation</w:t>
      </w:r>
      <w:proofErr w:type="spellEnd"/>
      <w:r w:rsidRPr="00BA2938">
        <w:rPr>
          <w:rFonts w:ascii="Titillium Web" w:hAnsi="Titillium Web"/>
          <w:sz w:val="20"/>
          <w:szCs w:val="20"/>
        </w:rPr>
        <w:t>. Qualified IT professionals are a limited resource and there is a worldwide demand for professionals from the Indian sub-continent. Failure to be able to retain key professionals can negatively impact the prospects of a company.</w:t>
      </w:r>
    </w:p>
    <w:p w14:paraId="00000383" w14:textId="77777777" w:rsidR="00546EC1" w:rsidRPr="00BA2938" w:rsidRDefault="00000000" w:rsidP="00BA2938">
      <w:pPr>
        <w:widowControl w:val="0"/>
        <w:numPr>
          <w:ilvl w:val="0"/>
          <w:numId w:val="9"/>
        </w:numPr>
        <w:pBdr>
          <w:top w:val="nil"/>
          <w:left w:val="nil"/>
          <w:bottom w:val="nil"/>
          <w:right w:val="nil"/>
          <w:between w:val="nil"/>
        </w:pBdr>
        <w:tabs>
          <w:tab w:val="left" w:pos="142"/>
          <w:tab w:val="left" w:pos="284"/>
          <w:tab w:val="left" w:pos="1600"/>
        </w:tabs>
        <w:spacing w:after="0" w:line="240" w:lineRule="auto"/>
        <w:ind w:left="270" w:hanging="270"/>
        <w:jc w:val="both"/>
        <w:rPr>
          <w:rFonts w:ascii="Titillium Web" w:hAnsi="Titillium Web"/>
          <w:sz w:val="20"/>
          <w:szCs w:val="20"/>
        </w:rPr>
      </w:pPr>
      <w:r w:rsidRPr="00BA2938">
        <w:rPr>
          <w:rFonts w:ascii="Titillium Web" w:hAnsi="Titillium Web"/>
          <w:sz w:val="20"/>
          <w:szCs w:val="20"/>
        </w:rPr>
        <w:t xml:space="preserve">Failure to adapt business to rapid technological change: Companies in the IT industry may be adversely affected by rapid technological changes, product innovations and obsolescence, changing standards and client preferences. All or one of these issues may impact the business prospects of a company. </w:t>
      </w:r>
    </w:p>
    <w:p w14:paraId="00000384" w14:textId="77777777" w:rsidR="00546EC1" w:rsidRPr="00BA2938" w:rsidRDefault="00000000" w:rsidP="00BA2938">
      <w:pPr>
        <w:widowControl w:val="0"/>
        <w:numPr>
          <w:ilvl w:val="0"/>
          <w:numId w:val="9"/>
        </w:numPr>
        <w:pBdr>
          <w:top w:val="nil"/>
          <w:left w:val="nil"/>
          <w:bottom w:val="nil"/>
          <w:right w:val="nil"/>
          <w:between w:val="nil"/>
        </w:pBdr>
        <w:tabs>
          <w:tab w:val="left" w:pos="142"/>
          <w:tab w:val="left" w:pos="284"/>
          <w:tab w:val="left" w:pos="1600"/>
        </w:tabs>
        <w:spacing w:after="0" w:line="240" w:lineRule="auto"/>
        <w:ind w:left="270" w:hanging="270"/>
        <w:jc w:val="both"/>
        <w:rPr>
          <w:rFonts w:ascii="Titillium Web" w:hAnsi="Titillium Web"/>
          <w:sz w:val="20"/>
          <w:szCs w:val="20"/>
        </w:rPr>
      </w:pPr>
      <w:r w:rsidRPr="00BA2938">
        <w:rPr>
          <w:rFonts w:ascii="Titillium Web" w:hAnsi="Titillium Web"/>
          <w:sz w:val="20"/>
          <w:szCs w:val="20"/>
        </w:rPr>
        <w:t xml:space="preserve">Volatility in foreign exchange rates: </w:t>
      </w:r>
      <w:proofErr w:type="gramStart"/>
      <w:r w:rsidRPr="00BA2938">
        <w:rPr>
          <w:rFonts w:ascii="Titillium Web" w:hAnsi="Titillium Web"/>
          <w:sz w:val="20"/>
          <w:szCs w:val="20"/>
        </w:rPr>
        <w:t>A number of</w:t>
      </w:r>
      <w:proofErr w:type="gramEnd"/>
      <w:r w:rsidRPr="00BA2938">
        <w:rPr>
          <w:rFonts w:ascii="Titillium Web" w:hAnsi="Titillium Web"/>
          <w:sz w:val="20"/>
          <w:szCs w:val="20"/>
        </w:rPr>
        <w:t xml:space="preserve"> companies in the technology sector generate revenue in foreign currencies which could be significantly lower than the amount spent in foreign currencies. This could lead to adverse impact on performance of companies. Change in macro-economic conditions of key markets addressed by companies could impact performance of the companies as well as that of a sector. </w:t>
      </w:r>
    </w:p>
    <w:p w14:paraId="00000385" w14:textId="77777777" w:rsidR="00546EC1" w:rsidRPr="00BA2938" w:rsidRDefault="00546EC1" w:rsidP="00BA2938">
      <w:pPr>
        <w:widowControl w:val="0"/>
        <w:pBdr>
          <w:top w:val="nil"/>
          <w:left w:val="nil"/>
          <w:bottom w:val="nil"/>
          <w:right w:val="nil"/>
          <w:between w:val="nil"/>
        </w:pBdr>
        <w:tabs>
          <w:tab w:val="left" w:pos="142"/>
          <w:tab w:val="left" w:pos="284"/>
          <w:tab w:val="left" w:pos="1600"/>
        </w:tabs>
        <w:spacing w:after="0" w:line="240" w:lineRule="auto"/>
        <w:jc w:val="both"/>
        <w:rPr>
          <w:rFonts w:ascii="Titillium Web" w:hAnsi="Titillium Web"/>
          <w:sz w:val="20"/>
          <w:szCs w:val="20"/>
        </w:rPr>
      </w:pPr>
    </w:p>
    <w:p w14:paraId="00000386" w14:textId="77777777" w:rsidR="00546EC1" w:rsidRDefault="00000000" w:rsidP="00BA2938">
      <w:pPr>
        <w:pBdr>
          <w:top w:val="nil"/>
          <w:left w:val="nil"/>
          <w:bottom w:val="nil"/>
          <w:right w:val="nil"/>
          <w:between w:val="nil"/>
        </w:pBdr>
        <w:tabs>
          <w:tab w:val="left" w:pos="142"/>
          <w:tab w:val="left" w:pos="284"/>
        </w:tabs>
        <w:spacing w:after="0" w:line="240" w:lineRule="auto"/>
        <w:jc w:val="both"/>
        <w:rPr>
          <w:rFonts w:ascii="Titillium Web" w:hAnsi="Titillium Web"/>
          <w:sz w:val="20"/>
          <w:szCs w:val="20"/>
        </w:rPr>
      </w:pPr>
      <w:r w:rsidRPr="00BA2938">
        <w:rPr>
          <w:rFonts w:ascii="Titillium Web" w:hAnsi="Titillium Web"/>
          <w:b/>
          <w:sz w:val="20"/>
          <w:szCs w:val="20"/>
        </w:rPr>
        <w:t>Market Risk</w:t>
      </w:r>
      <w:r w:rsidRPr="00BA2938">
        <w:rPr>
          <w:rFonts w:ascii="Titillium Web" w:hAnsi="Titillium Web"/>
          <w:sz w:val="20"/>
          <w:szCs w:val="20"/>
        </w:rPr>
        <w:t xml:space="preserve">: The Scheme’s NAV will react to the stock market movements. The Investor could lose money over short periods due to fluctuation in the Scheme’s NAV in response to factors such as economic and political developments, changes in interest rates and perceived trends in stock prices market movements, and over longer periods during market downturns. Settlement Risk: In certain cases, settlement periods may be extended significantly by unforeseen circumstances. The inability of the Scheme to make intended securities purchases due to settlement problems could cause the Scheme to miss certain investment opportunities as in certain cases, settlement periods may be extended significantly by unforeseen circumstances. Similarly, the inability to sell securities held in the Scheme portfolio may result, at times, in potential losses to the Scheme, and there can be a subsequent decline in the value of the securities held in the Scheme portfolio. </w:t>
      </w:r>
    </w:p>
    <w:p w14:paraId="06ABCA85" w14:textId="77777777" w:rsidR="00BA2938" w:rsidRPr="00BA2938" w:rsidRDefault="00BA2938" w:rsidP="00BA2938">
      <w:pPr>
        <w:pBdr>
          <w:top w:val="nil"/>
          <w:left w:val="nil"/>
          <w:bottom w:val="nil"/>
          <w:right w:val="nil"/>
          <w:between w:val="nil"/>
        </w:pBdr>
        <w:tabs>
          <w:tab w:val="left" w:pos="142"/>
          <w:tab w:val="left" w:pos="284"/>
        </w:tabs>
        <w:spacing w:after="0" w:line="240" w:lineRule="auto"/>
        <w:jc w:val="both"/>
        <w:rPr>
          <w:rFonts w:ascii="Titillium Web" w:hAnsi="Titillium Web"/>
          <w:sz w:val="20"/>
          <w:szCs w:val="20"/>
        </w:rPr>
      </w:pPr>
    </w:p>
    <w:p w14:paraId="00000387" w14:textId="77777777" w:rsidR="00546EC1" w:rsidRDefault="00000000" w:rsidP="00BA2938">
      <w:pPr>
        <w:pBdr>
          <w:top w:val="nil"/>
          <w:left w:val="nil"/>
          <w:bottom w:val="nil"/>
          <w:right w:val="nil"/>
          <w:between w:val="nil"/>
        </w:pBdr>
        <w:tabs>
          <w:tab w:val="left" w:pos="142"/>
          <w:tab w:val="left" w:pos="284"/>
        </w:tabs>
        <w:spacing w:after="0" w:line="240" w:lineRule="auto"/>
        <w:jc w:val="both"/>
        <w:rPr>
          <w:rFonts w:ascii="Titillium Web" w:hAnsi="Titillium Web"/>
          <w:sz w:val="20"/>
          <w:szCs w:val="20"/>
        </w:rPr>
      </w:pPr>
      <w:r w:rsidRPr="00BA2938">
        <w:rPr>
          <w:rFonts w:ascii="Titillium Web" w:hAnsi="Titillium Web"/>
          <w:b/>
          <w:sz w:val="20"/>
          <w:szCs w:val="20"/>
        </w:rPr>
        <w:t>Right to Limit Redemptions:</w:t>
      </w:r>
      <w:r w:rsidRPr="00BA2938">
        <w:rPr>
          <w:rFonts w:ascii="Titillium Web" w:hAnsi="Titillium Web"/>
          <w:sz w:val="20"/>
          <w:szCs w:val="20"/>
        </w:rPr>
        <w:t xml:space="preserve"> The Trustee, in the general interest of the Unit holders of the Scheme offered in this Document and keeping in view the unforeseen circumstances / unusual market conditions, may limit the total number of Units which can be redeemed on any Business Day. The same shall be in accordance with Clause 1.12 of SEBI Master Circular on Mutual Funds dated June 27, 2024 (Restriction on redemption in Mutual Fund.</w:t>
      </w:r>
    </w:p>
    <w:p w14:paraId="13E9C031" w14:textId="77777777" w:rsidR="00BA2938" w:rsidRPr="00BA2938" w:rsidRDefault="00BA2938" w:rsidP="00BA2938">
      <w:pPr>
        <w:pBdr>
          <w:top w:val="nil"/>
          <w:left w:val="nil"/>
          <w:bottom w:val="nil"/>
          <w:right w:val="nil"/>
          <w:between w:val="nil"/>
        </w:pBdr>
        <w:tabs>
          <w:tab w:val="left" w:pos="142"/>
          <w:tab w:val="left" w:pos="284"/>
        </w:tabs>
        <w:spacing w:after="0" w:line="240" w:lineRule="auto"/>
        <w:jc w:val="both"/>
        <w:rPr>
          <w:rFonts w:ascii="Titillium Web" w:hAnsi="Titillium Web"/>
          <w:sz w:val="20"/>
          <w:szCs w:val="20"/>
        </w:rPr>
      </w:pPr>
    </w:p>
    <w:p w14:paraId="00000388" w14:textId="77777777" w:rsidR="00546EC1" w:rsidRPr="00BA2938" w:rsidRDefault="00000000" w:rsidP="00BA2938">
      <w:pPr>
        <w:pBdr>
          <w:top w:val="nil"/>
          <w:left w:val="nil"/>
          <w:bottom w:val="nil"/>
          <w:right w:val="nil"/>
          <w:between w:val="nil"/>
        </w:pBdr>
        <w:tabs>
          <w:tab w:val="left" w:pos="142"/>
          <w:tab w:val="left" w:pos="284"/>
        </w:tabs>
        <w:spacing w:after="0" w:line="240" w:lineRule="auto"/>
        <w:jc w:val="both"/>
        <w:rPr>
          <w:rFonts w:ascii="Titillium Web" w:hAnsi="Titillium Web"/>
          <w:b/>
          <w:sz w:val="20"/>
          <w:szCs w:val="20"/>
        </w:rPr>
      </w:pPr>
      <w:r w:rsidRPr="00BA2938">
        <w:rPr>
          <w:rFonts w:ascii="Titillium Web" w:hAnsi="Titillium Web"/>
          <w:b/>
          <w:sz w:val="20"/>
          <w:szCs w:val="20"/>
          <w:u w:val="single"/>
        </w:rPr>
        <w:t>Risks associated with Equity and Equity Related Instruments:</w:t>
      </w:r>
    </w:p>
    <w:p w14:paraId="00000389" w14:textId="77777777" w:rsidR="00546EC1" w:rsidRDefault="00000000" w:rsidP="00BA2938">
      <w:pPr>
        <w:pBdr>
          <w:top w:val="nil"/>
          <w:left w:val="nil"/>
          <w:bottom w:val="nil"/>
          <w:right w:val="nil"/>
          <w:between w:val="nil"/>
        </w:pBdr>
        <w:tabs>
          <w:tab w:val="left" w:pos="142"/>
          <w:tab w:val="left" w:pos="284"/>
        </w:tabs>
        <w:spacing w:after="0" w:line="240" w:lineRule="auto"/>
        <w:jc w:val="both"/>
        <w:rPr>
          <w:rFonts w:ascii="Titillium Web" w:hAnsi="Titillium Web"/>
          <w:sz w:val="20"/>
          <w:szCs w:val="20"/>
        </w:rPr>
      </w:pPr>
      <w:r w:rsidRPr="00BA2938">
        <w:rPr>
          <w:rFonts w:ascii="Titillium Web" w:hAnsi="Titillium Web"/>
          <w:sz w:val="20"/>
          <w:szCs w:val="20"/>
        </w:rPr>
        <w:t>Investments in equity and equity related instruments involve a degree of risk, both company specific and market risks and thus investors should not invest in the Scheme unless they can afford to take the risk of losing their investment.</w:t>
      </w:r>
    </w:p>
    <w:p w14:paraId="5EED641D" w14:textId="77777777" w:rsidR="00BA2938" w:rsidRPr="00BA2938" w:rsidRDefault="00BA2938" w:rsidP="00BA2938">
      <w:pPr>
        <w:pBdr>
          <w:top w:val="nil"/>
          <w:left w:val="nil"/>
          <w:bottom w:val="nil"/>
          <w:right w:val="nil"/>
          <w:between w:val="nil"/>
        </w:pBdr>
        <w:tabs>
          <w:tab w:val="left" w:pos="142"/>
          <w:tab w:val="left" w:pos="284"/>
        </w:tabs>
        <w:spacing w:after="0" w:line="240" w:lineRule="auto"/>
        <w:jc w:val="both"/>
        <w:rPr>
          <w:rFonts w:ascii="Titillium Web" w:hAnsi="Titillium Web"/>
          <w:sz w:val="20"/>
          <w:szCs w:val="20"/>
        </w:rPr>
      </w:pPr>
    </w:p>
    <w:p w14:paraId="0000038A"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The scheme will invest in equity and equity related securities diversified over various sectors. Thus, any price fluctuation for these securities may adversely affect the NAV of the units issued under the Scheme. The same may also lead to out-performance or under-performance of the scheme against Nifty IT which is the benchmark index for the scheme.</w:t>
      </w:r>
    </w:p>
    <w:p w14:paraId="64E9C373"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8B"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 xml:space="preserve">Equity and Equity Related Instruments by nature are volatile and prone to price fluctuations </w:t>
      </w:r>
      <w:proofErr w:type="gramStart"/>
      <w:r w:rsidRPr="00BA2938">
        <w:rPr>
          <w:rFonts w:ascii="Titillium Web" w:hAnsi="Titillium Web"/>
          <w:sz w:val="20"/>
          <w:szCs w:val="20"/>
        </w:rPr>
        <w:t>on a daily basis</w:t>
      </w:r>
      <w:proofErr w:type="gramEnd"/>
      <w:r w:rsidRPr="00BA2938">
        <w:rPr>
          <w:rFonts w:ascii="Titillium Web" w:hAnsi="Titillium Web"/>
          <w:sz w:val="20"/>
          <w:szCs w:val="20"/>
        </w:rPr>
        <w:t xml:space="preserve"> due to macro and micro economic factors. The value of Equity and Equity Related Instruments may fluctuate due to factors affecting the securities markets such as volume and volatility in the capital markets, interest rates, currency exchange rates, changes in law/policies of the Government, taxation laws, political, economic or other developments, which may have an adverse impact on individual securities, a specific sector or all sectors. Consequently, the NAV of the Units issued under the Scheme may be adversely affected.</w:t>
      </w:r>
    </w:p>
    <w:p w14:paraId="3DF2AA0E"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8C"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 xml:space="preserve">Equity and Equity Related Instruments listed on the stock exchange carry lower liquidity risk; </w:t>
      </w:r>
      <w:proofErr w:type="gramStart"/>
      <w:r w:rsidRPr="00BA2938">
        <w:rPr>
          <w:rFonts w:ascii="Titillium Web" w:hAnsi="Titillium Web"/>
          <w:sz w:val="20"/>
          <w:szCs w:val="20"/>
        </w:rPr>
        <w:t>however</w:t>
      </w:r>
      <w:proofErr w:type="gramEnd"/>
      <w:r w:rsidRPr="00BA2938">
        <w:rPr>
          <w:rFonts w:ascii="Titillium Web" w:hAnsi="Titillium Web"/>
          <w:sz w:val="20"/>
          <w:szCs w:val="20"/>
        </w:rPr>
        <w:t xml:space="preserve"> the Scheme’s ability to sell these investments is limited by the overall trading volume on the stock exchanges. In certain cases, settlement periods may be extended significantly by unforeseen circumstances. The inability of the Scheme to make intended securities purchases due to settlement problems could cause the Scheme to miss certain investment opportunities. Similarly, the inability to sell securities held in the Scheme's portfolio may result, at times, in potential losses to the Scheme, should there be a subsequent decline in the value of securities held in the Scheme's portfolio.</w:t>
      </w:r>
    </w:p>
    <w:p w14:paraId="4A2BE768"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8D"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 xml:space="preserve">The Scheme may invest in securities which are not listed on the stock exchanges. These securities may be illiquid in nature and carry a higher amount of liquidity risk, in comparison to securities that are listed on the stock exchanges or offer other exit options to the investor. The liquidity and valuation of the Scheme's investments due to its holdings of unlisted securities may be affected if they </w:t>
      </w:r>
      <w:proofErr w:type="gramStart"/>
      <w:r w:rsidRPr="00BA2938">
        <w:rPr>
          <w:rFonts w:ascii="Titillium Web" w:hAnsi="Titillium Web"/>
          <w:sz w:val="20"/>
          <w:szCs w:val="20"/>
        </w:rPr>
        <w:t>have to</w:t>
      </w:r>
      <w:proofErr w:type="gramEnd"/>
      <w:r w:rsidRPr="00BA2938">
        <w:rPr>
          <w:rFonts w:ascii="Titillium Web" w:hAnsi="Titillium Web"/>
          <w:sz w:val="20"/>
          <w:szCs w:val="20"/>
        </w:rPr>
        <w:t xml:space="preserve"> be sold prior to the target date of disinvestment.</w:t>
      </w:r>
    </w:p>
    <w:p w14:paraId="0000038F" w14:textId="1159506F" w:rsidR="00546EC1" w:rsidRPr="00BA2938" w:rsidRDefault="00546EC1" w:rsidP="00BA2938">
      <w:pPr>
        <w:spacing w:after="0" w:line="240" w:lineRule="auto"/>
        <w:jc w:val="both"/>
        <w:rPr>
          <w:rFonts w:ascii="Titillium Web" w:hAnsi="Titillium Web"/>
          <w:b/>
          <w:sz w:val="20"/>
          <w:szCs w:val="20"/>
        </w:rPr>
      </w:pPr>
    </w:p>
    <w:p w14:paraId="00000390" w14:textId="77777777" w:rsidR="00546EC1" w:rsidRPr="00BA2938" w:rsidRDefault="00000000" w:rsidP="00BA2938">
      <w:pPr>
        <w:tabs>
          <w:tab w:val="left" w:pos="142"/>
        </w:tabs>
        <w:spacing w:after="0" w:line="240" w:lineRule="auto"/>
        <w:jc w:val="both"/>
        <w:rPr>
          <w:rFonts w:ascii="Titillium Web" w:hAnsi="Titillium Web"/>
          <w:b/>
          <w:sz w:val="20"/>
          <w:szCs w:val="20"/>
        </w:rPr>
      </w:pPr>
      <w:r w:rsidRPr="00BA2938">
        <w:rPr>
          <w:rFonts w:ascii="Titillium Web" w:hAnsi="Titillium Web"/>
          <w:b/>
          <w:sz w:val="20"/>
          <w:szCs w:val="20"/>
        </w:rPr>
        <w:t>Risks of Total Return</w:t>
      </w:r>
    </w:p>
    <w:p w14:paraId="00000391" w14:textId="77777777" w:rsidR="00546EC1" w:rsidRDefault="00000000" w:rsidP="00BA2938">
      <w:pP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Dividends are assumed to be reinvested into the Nifty IT Index after the ex-dividend date of the constituents. However, in practice, the dividend is received with a lag. This can lead to some tracking errors.</w:t>
      </w:r>
    </w:p>
    <w:p w14:paraId="0F1CD596" w14:textId="77777777" w:rsidR="00BA2938" w:rsidRPr="00BA2938" w:rsidRDefault="00BA2938" w:rsidP="00BA2938">
      <w:pPr>
        <w:tabs>
          <w:tab w:val="left" w:pos="142"/>
        </w:tabs>
        <w:spacing w:after="0" w:line="240" w:lineRule="auto"/>
        <w:jc w:val="both"/>
        <w:rPr>
          <w:rFonts w:ascii="Titillium Web" w:hAnsi="Titillium Web"/>
          <w:sz w:val="20"/>
          <w:szCs w:val="20"/>
        </w:rPr>
      </w:pPr>
    </w:p>
    <w:p w14:paraId="00000392" w14:textId="77777777" w:rsidR="00546EC1" w:rsidRPr="00BA2938" w:rsidRDefault="00000000" w:rsidP="00BA2938">
      <w:pPr>
        <w:tabs>
          <w:tab w:val="left" w:pos="142"/>
        </w:tabs>
        <w:spacing w:after="0" w:line="240" w:lineRule="auto"/>
        <w:jc w:val="both"/>
        <w:rPr>
          <w:rFonts w:ascii="Titillium Web" w:hAnsi="Titillium Web"/>
          <w:b/>
          <w:sz w:val="20"/>
          <w:szCs w:val="20"/>
        </w:rPr>
      </w:pPr>
      <w:r w:rsidRPr="00BA2938">
        <w:rPr>
          <w:rFonts w:ascii="Titillium Web" w:hAnsi="Titillium Web"/>
          <w:b/>
          <w:sz w:val="20"/>
          <w:szCs w:val="20"/>
        </w:rPr>
        <w:t>Index Fund Risk</w:t>
      </w:r>
    </w:p>
    <w:p w14:paraId="00000393" w14:textId="77777777" w:rsidR="00546EC1" w:rsidRPr="00BA2938" w:rsidRDefault="00000000" w:rsidP="00BA2938">
      <w:pP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The Scheme being an index scheme follows a passive investment technique and shall only invest in Securities comprising one selected index as per investment objective of the Scheme. The Fund Manager would invest in the Securities comprising the underlying index irrespective of the market conditions. If the Securities market declines, the value of the investment held by the Scheme shall decrease.</w:t>
      </w:r>
    </w:p>
    <w:p w14:paraId="00000394" w14:textId="77777777" w:rsidR="00546EC1" w:rsidRPr="00BA2938" w:rsidRDefault="00000000" w:rsidP="00BA2938">
      <w:pPr>
        <w:tabs>
          <w:tab w:val="left" w:pos="142"/>
        </w:tabs>
        <w:spacing w:after="0" w:line="240" w:lineRule="auto"/>
        <w:jc w:val="both"/>
        <w:rPr>
          <w:rFonts w:ascii="Titillium Web" w:hAnsi="Titillium Web"/>
          <w:b/>
          <w:sz w:val="20"/>
          <w:szCs w:val="20"/>
        </w:rPr>
      </w:pPr>
      <w:r w:rsidRPr="00BA2938">
        <w:rPr>
          <w:rFonts w:ascii="Titillium Web" w:hAnsi="Titillium Web"/>
          <w:b/>
          <w:sz w:val="20"/>
          <w:szCs w:val="20"/>
        </w:rPr>
        <w:lastRenderedPageBreak/>
        <w:t>Passive Investments</w:t>
      </w:r>
    </w:p>
    <w:p w14:paraId="00000395" w14:textId="77777777" w:rsidR="00546EC1" w:rsidRDefault="00000000" w:rsidP="00BA2938">
      <w:pP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The Scheme is not actively managed. Since the Scheme is linked to the index, it may be affected by a general decline in the Indian markets relating to its underlying index. The Scheme as per its investment objective invests in Securities which are constituents of its underlying index regardless of their investment merit. The AMC does not attempt to individually select stocks or to take defensive positions in declining markets.</w:t>
      </w:r>
    </w:p>
    <w:p w14:paraId="43AAD953" w14:textId="77777777" w:rsidR="00BA2938" w:rsidRPr="00BA2938" w:rsidRDefault="00BA2938" w:rsidP="00BA2938">
      <w:pPr>
        <w:tabs>
          <w:tab w:val="left" w:pos="142"/>
        </w:tabs>
        <w:spacing w:after="0" w:line="240" w:lineRule="auto"/>
        <w:jc w:val="both"/>
        <w:rPr>
          <w:rFonts w:ascii="Titillium Web" w:hAnsi="Titillium Web"/>
          <w:sz w:val="20"/>
          <w:szCs w:val="20"/>
        </w:rPr>
      </w:pPr>
    </w:p>
    <w:p w14:paraId="00000396" w14:textId="77777777" w:rsidR="00546EC1" w:rsidRPr="00BA2938" w:rsidRDefault="00000000" w:rsidP="00BA2938">
      <w:pPr>
        <w:tabs>
          <w:tab w:val="left" w:pos="142"/>
        </w:tabs>
        <w:spacing w:after="0" w:line="240" w:lineRule="auto"/>
        <w:jc w:val="both"/>
        <w:rPr>
          <w:rFonts w:ascii="Titillium Web" w:hAnsi="Titillium Web"/>
          <w:b/>
          <w:sz w:val="20"/>
          <w:szCs w:val="20"/>
        </w:rPr>
      </w:pPr>
      <w:r w:rsidRPr="00BA2938">
        <w:rPr>
          <w:rFonts w:ascii="Titillium Web" w:hAnsi="Titillium Web"/>
          <w:b/>
          <w:sz w:val="20"/>
          <w:szCs w:val="20"/>
        </w:rPr>
        <w:t>Trading through mutual fund trading platforms of BSE and/ or NSE</w:t>
      </w:r>
    </w:p>
    <w:p w14:paraId="00000397"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In respect of transaction in Units of the Scheme through BSE and/ or NSE, allotment and redemption of Units on any Business Day will depend upon the order processing/settlement by BSE and/ or NSE and their respective clearing corporations on which the Mutual Fund has no control.</w:t>
      </w:r>
    </w:p>
    <w:p w14:paraId="5CC2FCC4"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98" w14:textId="77777777" w:rsidR="00546EC1" w:rsidRPr="00BA2938" w:rsidRDefault="00000000" w:rsidP="00BA2938">
      <w:pPr>
        <w:tabs>
          <w:tab w:val="left" w:pos="142"/>
        </w:tabs>
        <w:spacing w:after="0" w:line="240" w:lineRule="auto"/>
        <w:jc w:val="both"/>
        <w:rPr>
          <w:rFonts w:ascii="Titillium Web" w:hAnsi="Titillium Web"/>
          <w:b/>
          <w:sz w:val="20"/>
          <w:szCs w:val="20"/>
          <w:u w:val="single"/>
        </w:rPr>
      </w:pPr>
      <w:r w:rsidRPr="00BA2938">
        <w:rPr>
          <w:rFonts w:ascii="Titillium Web" w:hAnsi="Titillium Web"/>
          <w:b/>
          <w:sz w:val="20"/>
          <w:szCs w:val="20"/>
          <w:u w:val="single"/>
        </w:rPr>
        <w:t>Risks associated with Fixed Income securities:</w:t>
      </w:r>
    </w:p>
    <w:p w14:paraId="00000399"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The following are the risks associated with investment in Fixed Income securities:</w:t>
      </w:r>
    </w:p>
    <w:p w14:paraId="0C9FD5EB"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9A"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t xml:space="preserve">Interest-Rate Risk: </w:t>
      </w:r>
      <w:r w:rsidRPr="00BA2938">
        <w:rPr>
          <w:rFonts w:ascii="Titillium Web" w:hAnsi="Titillium Web"/>
          <w:sz w:val="20"/>
          <w:szCs w:val="20"/>
        </w:rPr>
        <w:t>Fixed income securities such as government bonds, corporate bonds, Money Market Instruments and Derivatives run price-risk or interest-rate risk. Generally, when interest rates rise, prices of existing fixed income securities fall and when interest rates drop, such prices increase. The extent of fall or rise in the prices depends upon the coupon and maturity of the security. It also depends upon the level at which the security is being traded.</w:t>
      </w:r>
    </w:p>
    <w:p w14:paraId="6F6F1A37"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9B"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t xml:space="preserve">Reinvestment Risk: </w:t>
      </w:r>
      <w:r w:rsidRPr="00BA2938">
        <w:rPr>
          <w:rFonts w:ascii="Titillium Web" w:hAnsi="Titillium Web"/>
          <w:sz w:val="20"/>
          <w:szCs w:val="20"/>
        </w:rPr>
        <w:t>Investments in fixed income securities carry reinvestment risk as interest rates prevailing on the coupon payment or maturity dates may differ from the original coupon of the bond.</w:t>
      </w:r>
    </w:p>
    <w:p w14:paraId="7F8A3990"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9C"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t>Basis Risk</w:t>
      </w:r>
      <w:r w:rsidRPr="00BA2938">
        <w:rPr>
          <w:rFonts w:ascii="Titillium Web" w:hAnsi="Titillium Web"/>
          <w:sz w:val="20"/>
          <w:szCs w:val="20"/>
        </w:rPr>
        <w:t>: The underlying benchmark of a floating rate security or a swap might become less active or may cease to exist and thus may not be able to capture the exact interest rate movements, leading to loss of value of the portfolio.</w:t>
      </w:r>
    </w:p>
    <w:p w14:paraId="51356840"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9D"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t xml:space="preserve">Spread Risk: </w:t>
      </w:r>
      <w:r w:rsidRPr="00BA2938">
        <w:rPr>
          <w:rFonts w:ascii="Titillium Web" w:hAnsi="Titillium Web"/>
          <w:sz w:val="20"/>
          <w:szCs w:val="20"/>
        </w:rPr>
        <w:t xml:space="preserve">In a floating rate </w:t>
      </w:r>
      <w:proofErr w:type="gramStart"/>
      <w:r w:rsidRPr="00BA2938">
        <w:rPr>
          <w:rFonts w:ascii="Titillium Web" w:hAnsi="Titillium Web"/>
          <w:sz w:val="20"/>
          <w:szCs w:val="20"/>
        </w:rPr>
        <w:t>security</w:t>
      </w:r>
      <w:proofErr w:type="gramEnd"/>
      <w:r w:rsidRPr="00BA2938">
        <w:rPr>
          <w:rFonts w:ascii="Titillium Web" w:hAnsi="Titillium Web"/>
          <w:sz w:val="20"/>
          <w:szCs w:val="20"/>
        </w:rPr>
        <w:t xml:space="preserve"> the coupon is expressed in terms of a spread or mark up over the benchmark rate. In the life of the security this spread may move adversely leading to loss in value of the portfolio. The yield of the underlying benchmark might not change, but the spread of the security over the underlying benchmark might increase leading to loss in value of the security.</w:t>
      </w:r>
    </w:p>
    <w:p w14:paraId="0000039E" w14:textId="77777777" w:rsidR="00546EC1" w:rsidRPr="00BA2938" w:rsidRDefault="00546EC1"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9F"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w:t>
      </w:r>
      <w:r w:rsidRPr="00BA2938">
        <w:rPr>
          <w:rFonts w:ascii="Titillium Web" w:hAnsi="Titillium Web"/>
          <w:sz w:val="20"/>
          <w:szCs w:val="20"/>
        </w:rPr>
        <w:t>The liquidity of a bond may change, depending on market conditions leading to changes in the liquidity premium attached to the price of the bond. At the time of selling the security, the security can become illiquid, leading to loss in value of the portfolio.</w:t>
      </w:r>
    </w:p>
    <w:p w14:paraId="1209DE21"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A0"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t xml:space="preserve">Credit Risk: </w:t>
      </w:r>
      <w:r w:rsidRPr="00BA2938">
        <w:rPr>
          <w:rFonts w:ascii="Titillium Web" w:hAnsi="Titillium Web"/>
          <w:sz w:val="20"/>
          <w:szCs w:val="20"/>
        </w:rPr>
        <w:t xml:space="preserve">This is the risk associated with the issuer of a debenture/bond or a Money Market Instrument defaulting on coupon payments or in paying back the principal amount on maturity. Even when there is no default, the price of a security may change with expected changes in the credit rating of the issuer. It is to be noted here that a Government Security is a sovereign security and is the safest. Corporate bonds carry a higher amount of </w:t>
      </w:r>
      <w:r w:rsidRPr="00BA2938">
        <w:rPr>
          <w:rFonts w:ascii="Titillium Web" w:hAnsi="Titillium Web"/>
          <w:sz w:val="20"/>
          <w:szCs w:val="20"/>
        </w:rPr>
        <w:lastRenderedPageBreak/>
        <w:t xml:space="preserve">credit risk than Government Securities. Within corporate bonds also there are different levels of </w:t>
      </w:r>
      <w:proofErr w:type="gramStart"/>
      <w:r w:rsidRPr="00BA2938">
        <w:rPr>
          <w:rFonts w:ascii="Titillium Web" w:hAnsi="Titillium Web"/>
          <w:sz w:val="20"/>
          <w:szCs w:val="20"/>
        </w:rPr>
        <w:t>safety</w:t>
      </w:r>
      <w:proofErr w:type="gramEnd"/>
      <w:r w:rsidRPr="00BA2938">
        <w:rPr>
          <w:rFonts w:ascii="Titillium Web" w:hAnsi="Titillium Web"/>
          <w:sz w:val="20"/>
          <w:szCs w:val="20"/>
        </w:rPr>
        <w:t xml:space="preserve"> and a bond rated higher by a particular rating agency is safer than a bond rated lower by the same rating agency.</w:t>
      </w:r>
    </w:p>
    <w:p w14:paraId="275F7B3A"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A1"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on account of unlisted securities: </w:t>
      </w:r>
      <w:r w:rsidRPr="00BA2938">
        <w:rPr>
          <w:rFonts w:ascii="Titillium Web" w:hAnsi="Titillium Web"/>
          <w:sz w:val="20"/>
          <w:szCs w:val="20"/>
        </w:rPr>
        <w:t xml:space="preserve">The liquidity and valuation of the Scheme investments due to their holdings of unlisted securities may be affected if they </w:t>
      </w:r>
      <w:proofErr w:type="gramStart"/>
      <w:r w:rsidRPr="00BA2938">
        <w:rPr>
          <w:rFonts w:ascii="Titillium Web" w:hAnsi="Titillium Web"/>
          <w:sz w:val="20"/>
          <w:szCs w:val="20"/>
        </w:rPr>
        <w:t>have to</w:t>
      </w:r>
      <w:proofErr w:type="gramEnd"/>
      <w:r w:rsidRPr="00BA2938">
        <w:rPr>
          <w:rFonts w:ascii="Titillium Web" w:hAnsi="Titillium Web"/>
          <w:sz w:val="20"/>
          <w:szCs w:val="20"/>
        </w:rPr>
        <w:t xml:space="preserve"> be sold prior to their target date of divestment. The unlisted security can go down in value before the divestment date and selling of these securities before the divestment date can lead to losses in the portfolio.</w:t>
      </w:r>
    </w:p>
    <w:p w14:paraId="4E9F0FD6"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A2"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t xml:space="preserve">Settlement Risk: </w:t>
      </w:r>
      <w:r w:rsidRPr="00BA2938">
        <w:rPr>
          <w:rFonts w:ascii="Titillium Web" w:hAnsi="Titillium Web"/>
          <w:sz w:val="20"/>
          <w:szCs w:val="20"/>
        </w:rPr>
        <w:t>Fixed income securities run the risk of settlement which can adversely affect the ability of the fund house to swiftly execute trading strategies which can lead to adverse movements in NAV.</w:t>
      </w:r>
    </w:p>
    <w:p w14:paraId="0140754D"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A3" w14:textId="77777777" w:rsidR="00546EC1" w:rsidRPr="00BA2938" w:rsidRDefault="00000000" w:rsidP="00BA2938">
      <w:pPr>
        <w:pStyle w:val="Heading1"/>
        <w:tabs>
          <w:tab w:val="left" w:pos="142"/>
        </w:tabs>
        <w:spacing w:before="0" w:line="240" w:lineRule="auto"/>
        <w:jc w:val="both"/>
        <w:rPr>
          <w:rFonts w:ascii="Titillium Web" w:eastAsia="Calibri" w:hAnsi="Titillium Web" w:cs="Calibri"/>
          <w:b/>
          <w:color w:val="000000"/>
          <w:sz w:val="20"/>
          <w:szCs w:val="20"/>
        </w:rPr>
      </w:pPr>
      <w:bookmarkStart w:id="22" w:name="_heading=h.xna8c13q3lx" w:colFirst="0" w:colLast="0"/>
      <w:bookmarkEnd w:id="22"/>
      <w:r w:rsidRPr="00BA2938">
        <w:rPr>
          <w:rFonts w:ascii="Titillium Web" w:eastAsia="Calibri" w:hAnsi="Titillium Web" w:cs="Calibri"/>
          <w:b/>
          <w:color w:val="000000"/>
          <w:sz w:val="20"/>
          <w:szCs w:val="20"/>
        </w:rPr>
        <w:t>Risks associated with investing in Tri-Party Repos Segments</w:t>
      </w:r>
    </w:p>
    <w:p w14:paraId="000003A4"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 xml:space="preserve">The mutual fund is a member of securities and Tri-Party Repos segments of the Clearing Corporation of India (CCIL). All transactions of the mutual fund in government securities and in Tri-Party Repos segments are settled centrally through the infrastructure and settlement systems provided by CCIL; </w:t>
      </w:r>
      <w:proofErr w:type="gramStart"/>
      <w:r w:rsidRPr="00BA2938">
        <w:rPr>
          <w:rFonts w:ascii="Titillium Web" w:hAnsi="Titillium Web"/>
          <w:sz w:val="20"/>
          <w:szCs w:val="20"/>
        </w:rPr>
        <w:t>thus</w:t>
      </w:r>
      <w:proofErr w:type="gramEnd"/>
      <w:r w:rsidRPr="00BA2938">
        <w:rPr>
          <w:rFonts w:ascii="Titillium Web" w:hAnsi="Titillium Web"/>
          <w:sz w:val="20"/>
          <w:szCs w:val="20"/>
        </w:rPr>
        <w:t xml:space="preserve"> reducing the settlement and counterparty risks considerably for transactions in the said segments. The members are required to contribute an amount as communicated by CCIL from time to time to the default fund maintained by CCIL as a part of the default waterfall (a loss mitigating measure of CCIL in case of default by any member in settling transactions routed through CCIL). The mutual fund is exposed to the extent of its contribution to the default fund of CCIL at any given point in time. In the event that the default waterfall is </w:t>
      </w:r>
      <w:proofErr w:type="gramStart"/>
      <w:r w:rsidRPr="00BA2938">
        <w:rPr>
          <w:rFonts w:ascii="Titillium Web" w:hAnsi="Titillium Web"/>
          <w:sz w:val="20"/>
          <w:szCs w:val="20"/>
        </w:rPr>
        <w:t>triggered</w:t>
      </w:r>
      <w:proofErr w:type="gramEnd"/>
      <w:r w:rsidRPr="00BA2938">
        <w:rPr>
          <w:rFonts w:ascii="Titillium Web" w:hAnsi="Titillium Web"/>
          <w:sz w:val="20"/>
          <w:szCs w:val="20"/>
        </w:rPr>
        <w:t xml:space="preserve"> and the contribution of the mutual fund is called upon to absorb settlement/default losses of another member by CCIL, the scheme may lose an amount equivalent to its contribution to the default fund allocated to the scheme on a pro-rata basis.</w:t>
      </w:r>
    </w:p>
    <w:p w14:paraId="6AABFFCA"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A5" w14:textId="77777777" w:rsidR="00546EC1" w:rsidRPr="00BA2938" w:rsidRDefault="00000000" w:rsidP="00BA2938">
      <w:pPr>
        <w:pStyle w:val="Heading1"/>
        <w:tabs>
          <w:tab w:val="left" w:pos="142"/>
        </w:tabs>
        <w:spacing w:before="0" w:line="240" w:lineRule="auto"/>
        <w:jc w:val="both"/>
        <w:rPr>
          <w:rFonts w:ascii="Titillium Web" w:eastAsia="Calibri" w:hAnsi="Titillium Web" w:cs="Calibri"/>
          <w:color w:val="000000"/>
          <w:sz w:val="20"/>
          <w:szCs w:val="20"/>
          <w:u w:val="single"/>
        </w:rPr>
      </w:pPr>
      <w:bookmarkStart w:id="23" w:name="_heading=h.qxuj5tyktwo" w:colFirst="0" w:colLast="0"/>
      <w:bookmarkEnd w:id="23"/>
      <w:r w:rsidRPr="00BA2938">
        <w:rPr>
          <w:rFonts w:ascii="Titillium Web" w:eastAsia="Calibri" w:hAnsi="Titillium Web" w:cs="Calibri"/>
          <w:b/>
          <w:color w:val="000000"/>
          <w:sz w:val="20"/>
          <w:szCs w:val="20"/>
        </w:rPr>
        <w:t>Tracking Error/Tracking difference Risk</w:t>
      </w:r>
      <w:r w:rsidRPr="00BA2938">
        <w:rPr>
          <w:rFonts w:ascii="Titillium Web" w:eastAsia="Calibri" w:hAnsi="Titillium Web" w:cs="Calibri"/>
          <w:color w:val="000000"/>
          <w:sz w:val="20"/>
          <w:szCs w:val="20"/>
          <w:u w:val="single"/>
        </w:rPr>
        <w:t xml:space="preserve"> </w:t>
      </w:r>
    </w:p>
    <w:p w14:paraId="000003A6"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bookmarkStart w:id="24" w:name="_heading=h.a8pl4ede978a" w:colFirst="0" w:colLast="0"/>
      <w:bookmarkEnd w:id="24"/>
      <w:r w:rsidRPr="00BA2938">
        <w:rPr>
          <w:rFonts w:ascii="Titillium Web" w:hAnsi="Titillium Web"/>
          <w:sz w:val="20"/>
          <w:szCs w:val="20"/>
        </w:rPr>
        <w:t xml:space="preserve">The Fund Manager would not be able to invest the entire corpus exactly in the same proportion as in the underlying index due to certain factors such as the fees and expenses of the Scheme, corporate actions, cash balance and changes to the underlying index and regulatory restrictions, lack of liquidity which may result in Tracking Error. Hence it may affect AMC’s ability to achieve close correlation with the underlying index of the Scheme. The Scheme’s returns may therefore deviate from its underlying index. "Tracking Error" is defined as the standard deviation of the difference between daily returns of the underlying index and the NAV of the Scheme. The Fund Manager would monitor the Tracking Error of the Scheme on an ongoing basis and would seek to minimize the Tracking Error. There can be no assurance or guarantee that the Scheme will achieve any </w:t>
      </w:r>
      <w:proofErr w:type="gramStart"/>
      <w:r w:rsidRPr="00BA2938">
        <w:rPr>
          <w:rFonts w:ascii="Titillium Web" w:hAnsi="Titillium Web"/>
          <w:sz w:val="20"/>
          <w:szCs w:val="20"/>
        </w:rPr>
        <w:t>particular level</w:t>
      </w:r>
      <w:proofErr w:type="gramEnd"/>
      <w:r w:rsidRPr="00BA2938">
        <w:rPr>
          <w:rFonts w:ascii="Titillium Web" w:hAnsi="Titillium Web"/>
          <w:sz w:val="20"/>
          <w:szCs w:val="20"/>
        </w:rPr>
        <w:t xml:space="preserve"> of Tracking Error relative to performance of the underlying Index.</w:t>
      </w:r>
    </w:p>
    <w:p w14:paraId="000003A7" w14:textId="77777777" w:rsidR="00546EC1" w:rsidRPr="00BA2938" w:rsidRDefault="00546EC1"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632CA6DA" w14:textId="4309DDD3" w:rsidR="00BA2938"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u w:val="single"/>
        </w:rPr>
      </w:pPr>
      <w:r w:rsidRPr="00BA2938">
        <w:rPr>
          <w:rFonts w:ascii="Titillium Web" w:hAnsi="Titillium Web"/>
          <w:b/>
          <w:sz w:val="20"/>
          <w:szCs w:val="20"/>
          <w:u w:val="single"/>
        </w:rPr>
        <w:t>Risk Factors relating to Portfolio Rebalancing</w:t>
      </w:r>
      <w:r w:rsidRPr="00BA2938">
        <w:rPr>
          <w:rFonts w:ascii="Titillium Web" w:hAnsi="Titillium Web"/>
          <w:sz w:val="20"/>
          <w:szCs w:val="20"/>
          <w:u w:val="single"/>
        </w:rPr>
        <w:t xml:space="preserve"> </w:t>
      </w:r>
    </w:p>
    <w:p w14:paraId="000003A9"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roofErr w:type="gramStart"/>
      <w:r w:rsidRPr="00BA2938">
        <w:rPr>
          <w:rFonts w:ascii="Titillium Web" w:hAnsi="Titillium Web"/>
          <w:sz w:val="20"/>
          <w:szCs w:val="20"/>
        </w:rPr>
        <w:t>In the event that</w:t>
      </w:r>
      <w:proofErr w:type="gramEnd"/>
      <w:r w:rsidRPr="00BA2938">
        <w:rPr>
          <w:rFonts w:ascii="Titillium Web" w:hAnsi="Titillium Web"/>
          <w:sz w:val="20"/>
          <w:szCs w:val="20"/>
        </w:rPr>
        <w:t xml:space="preserve"> the asset allocation of the Scheme deviates from the ranges as provided in the asset allocation table in this SID, then the Fund Manager will rebalance the portfolio of the Scheme to the position indicated in the asset allocation table. </w:t>
      </w:r>
    </w:p>
    <w:p w14:paraId="61AB7432" w14:textId="0995800E" w:rsidR="00BA2938" w:rsidRDefault="00BA2938">
      <w:pPr>
        <w:rPr>
          <w:rFonts w:ascii="Titillium Web" w:hAnsi="Titillium Web"/>
          <w:sz w:val="20"/>
          <w:szCs w:val="20"/>
        </w:rPr>
      </w:pPr>
      <w:r>
        <w:rPr>
          <w:rFonts w:ascii="Titillium Web" w:hAnsi="Titillium Web"/>
          <w:sz w:val="20"/>
          <w:szCs w:val="20"/>
        </w:rPr>
        <w:br w:type="page"/>
      </w:r>
    </w:p>
    <w:p w14:paraId="475E3D0D"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AA" w14:textId="77777777" w:rsidR="00546EC1" w:rsidRPr="00BA2938" w:rsidRDefault="00000000" w:rsidP="00BA2938">
      <w:pPr>
        <w:tabs>
          <w:tab w:val="left" w:pos="142"/>
        </w:tabs>
        <w:spacing w:after="0" w:line="240" w:lineRule="auto"/>
        <w:jc w:val="both"/>
        <w:rPr>
          <w:rFonts w:ascii="Titillium Web" w:hAnsi="Titillium Web"/>
          <w:b/>
          <w:sz w:val="20"/>
          <w:szCs w:val="20"/>
          <w:u w:val="single"/>
        </w:rPr>
      </w:pPr>
      <w:r w:rsidRPr="00BA2938">
        <w:rPr>
          <w:rFonts w:ascii="Titillium Web" w:hAnsi="Titillium Web"/>
          <w:b/>
          <w:sz w:val="20"/>
          <w:szCs w:val="20"/>
          <w:u w:val="single"/>
        </w:rPr>
        <w:t xml:space="preserve">Risks associated with Derivatives Transactions </w:t>
      </w:r>
    </w:p>
    <w:p w14:paraId="000003AB"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t xml:space="preserve">Systematic Risk: </w:t>
      </w:r>
      <w:r w:rsidRPr="00BA2938">
        <w:rPr>
          <w:rFonts w:ascii="Titillium Web" w:hAnsi="Titillium Web"/>
          <w:sz w:val="20"/>
          <w:szCs w:val="20"/>
        </w:rPr>
        <w:t>Systematic Risk is the risk associated with the entire market. Unlike unsystematic risk, it is not linked to a specific security or sector. Systematic risk is a market risk which can be due to macro- economic factors, news events, etc.</w:t>
      </w:r>
    </w:p>
    <w:p w14:paraId="41E55A92"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AC"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t xml:space="preserve">Mark to Market Risk: </w:t>
      </w:r>
      <w:r w:rsidRPr="00BA2938">
        <w:rPr>
          <w:rFonts w:ascii="Titillium Web" w:hAnsi="Titillium Web"/>
          <w:sz w:val="20"/>
          <w:szCs w:val="20"/>
        </w:rPr>
        <w:t>This risk is on account of day-to-day fluctuations in the underlying Security and its derivative instrument, which can adversely impact the portfolio.</w:t>
      </w:r>
    </w:p>
    <w:p w14:paraId="53109AE1"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AD"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t xml:space="preserve">Credit Risk: </w:t>
      </w:r>
      <w:r w:rsidRPr="00BA2938">
        <w:rPr>
          <w:rFonts w:ascii="Titillium Web" w:hAnsi="Titillium Web"/>
          <w:sz w:val="20"/>
          <w:szCs w:val="20"/>
        </w:rPr>
        <w:t>The credit risk is the risk that the counterparty will default in its obligations and is generally small as in a Derivative transaction there is generally no exchange of the principal amount.</w:t>
      </w:r>
    </w:p>
    <w:p w14:paraId="43462256"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AE"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t>Interest rate risk</w:t>
      </w:r>
      <w:r w:rsidRPr="00BA2938">
        <w:rPr>
          <w:rFonts w:ascii="Titillium Web" w:hAnsi="Titillium Web"/>
          <w:sz w:val="20"/>
          <w:szCs w:val="20"/>
        </w:rPr>
        <w:t>: Derivatives carry the risk of adverse changes in the price due to change in interest rates.</w:t>
      </w:r>
    </w:p>
    <w:p w14:paraId="57F869A0"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AF"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t xml:space="preserve">Basis Risk: </w:t>
      </w:r>
      <w:r w:rsidRPr="00BA2938">
        <w:rPr>
          <w:rFonts w:ascii="Titillium Web" w:hAnsi="Titillium Web"/>
          <w:sz w:val="20"/>
          <w:szCs w:val="20"/>
        </w:rPr>
        <w:t>When a security is hedged using a Derivative, the change in price of the security and the change in price of the Derivative may not be fully correlated leading to basis risk in the portfolio.</w:t>
      </w:r>
    </w:p>
    <w:p w14:paraId="3BE49AD6"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B0"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w:t>
      </w:r>
      <w:r w:rsidRPr="00BA2938">
        <w:rPr>
          <w:rFonts w:ascii="Titillium Web" w:hAnsi="Titillium Web"/>
          <w:sz w:val="20"/>
          <w:szCs w:val="20"/>
        </w:rPr>
        <w:t>During the life of the Derivative, the benchmark might become Illiquid and might not be fully capturing the interest rate changes in the market, or the selling, unwinding prices might not reflect the underlying assets, rates and indices, leading to loss of value of the portfolio.</w:t>
      </w:r>
    </w:p>
    <w:p w14:paraId="416D7F9F"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B1"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t xml:space="preserve">Model Risk: </w:t>
      </w:r>
      <w:r w:rsidRPr="00BA2938">
        <w:rPr>
          <w:rFonts w:ascii="Titillium Web" w:hAnsi="Titillium Web"/>
          <w:sz w:val="20"/>
          <w:szCs w:val="20"/>
        </w:rPr>
        <w:t>The risk of mis–pricing or improper valuation of Derivatives.</w:t>
      </w:r>
    </w:p>
    <w:p w14:paraId="5FA6F834"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B2"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t xml:space="preserve">Trade Execution: </w:t>
      </w:r>
      <w:r w:rsidRPr="00BA2938">
        <w:rPr>
          <w:rFonts w:ascii="Titillium Web" w:hAnsi="Titillium Web"/>
          <w:sz w:val="20"/>
          <w:szCs w:val="20"/>
        </w:rPr>
        <w:t>Risk where the final execution price is different from the screen price, leading to dilution in the spreads.</w:t>
      </w:r>
    </w:p>
    <w:p w14:paraId="69FA5A8D"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B3"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bookmarkStart w:id="25" w:name="_heading=h.krsqnjr8hu0i" w:colFirst="0" w:colLast="0"/>
      <w:bookmarkEnd w:id="25"/>
      <w:r w:rsidRPr="00BA2938">
        <w:rPr>
          <w:rFonts w:ascii="Titillium Web" w:hAnsi="Titillium Web"/>
          <w:b/>
          <w:sz w:val="20"/>
          <w:szCs w:val="20"/>
        </w:rPr>
        <w:t xml:space="preserve">Systemic Risk: </w:t>
      </w:r>
      <w:r w:rsidRPr="00BA2938">
        <w:rPr>
          <w:rFonts w:ascii="Titillium Web" w:hAnsi="Titillium Web"/>
          <w:sz w:val="20"/>
          <w:szCs w:val="20"/>
        </w:rPr>
        <w:t>For Derivatives, especially OTC ones the failure of one Counterparty can put the whole system at risk and the whole system can come to a halt.</w:t>
      </w:r>
    </w:p>
    <w:p w14:paraId="345DF172"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B4"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The scheme may invest in various derivative products in accordance with and to the extent permitted under the regulations from time to time.</w:t>
      </w:r>
    </w:p>
    <w:p w14:paraId="2F504D94"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B5"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bookmarkStart w:id="26" w:name="_heading=h.khjpam2xp57s" w:colFirst="0" w:colLast="0"/>
      <w:bookmarkEnd w:id="26"/>
      <w:r w:rsidRPr="00BA2938">
        <w:rPr>
          <w:rFonts w:ascii="Titillium Web" w:hAnsi="Titillium Web"/>
          <w:sz w:val="20"/>
          <w:szCs w:val="20"/>
        </w:rPr>
        <w:t>Derivatives are financial contracts of predetermined fixed duration, like stock Futures /options and index futures and options, whose values are derived from the value of an underlying primary financial instrument such as: Equities, Interest rates, Exchange rates.</w:t>
      </w:r>
    </w:p>
    <w:p w14:paraId="0982A65E"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B6"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 xml:space="preserve">Derivative products are specialized instruments that require investment techniques and risk analysis which are different from those associated with stocks and other traditional securities. </w:t>
      </w:r>
    </w:p>
    <w:p w14:paraId="33486D44"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B7"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 xml:space="preserve">Derivatives are highly leveraged instruments and a small price fluctuation in the underlying can have a larger impact on its value. Thus, its use can lead to disproportionate gains or losses to the portfolio. Execution of </w:t>
      </w:r>
      <w:r w:rsidRPr="00BA2938">
        <w:rPr>
          <w:rFonts w:ascii="Titillium Web" w:hAnsi="Titillium Web"/>
          <w:sz w:val="20"/>
          <w:szCs w:val="20"/>
        </w:rPr>
        <w:lastRenderedPageBreak/>
        <w:t>derivatives instruments depends on the ability of the fund manager to identify good opportunities. Identification and execution of the strategies to be pursued by the fund manager involve uncertainty and decision of fund manager may not always be profitable. No assurance can be given that the fund manager will be able to identify or execute such strategies.</w:t>
      </w:r>
    </w:p>
    <w:p w14:paraId="000003B8" w14:textId="77777777" w:rsidR="00546EC1" w:rsidRPr="00BA2938" w:rsidRDefault="00546EC1"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B9"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The risks associated with the use of Derivatives are different from, or possibly greater than, the risks associated with investing directly in securities and other traditional investments.</w:t>
      </w:r>
    </w:p>
    <w:p w14:paraId="69A40796"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BA" w14:textId="77777777" w:rsidR="00546EC1" w:rsidRPr="00BA2938" w:rsidRDefault="00000000" w:rsidP="00BA2938">
      <w:pPr>
        <w:tabs>
          <w:tab w:val="left" w:pos="142"/>
        </w:tabs>
        <w:spacing w:after="0" w:line="240" w:lineRule="auto"/>
        <w:jc w:val="both"/>
        <w:rPr>
          <w:rFonts w:ascii="Titillium Web" w:hAnsi="Titillium Web"/>
          <w:b/>
          <w:sz w:val="20"/>
          <w:szCs w:val="20"/>
          <w:u w:val="single"/>
        </w:rPr>
      </w:pPr>
      <w:r w:rsidRPr="00BA2938">
        <w:rPr>
          <w:rFonts w:ascii="Titillium Web" w:hAnsi="Titillium Web"/>
          <w:b/>
          <w:sz w:val="20"/>
          <w:szCs w:val="20"/>
          <w:u w:val="single"/>
        </w:rPr>
        <w:t>Risk associated with Short Selling &amp; Securities Lending</w:t>
      </w:r>
    </w:p>
    <w:p w14:paraId="000003BB"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Securities Lending is a lending of securities through an approved intermediary to a borrower under an agreement for a specified period with the condition that the borrower will return equivalent securities of the same type or class at the end of the specified period along with the corporate benefits accruing on the securities borrowed. There are risks inherent in securities lending, including the risk of failure of the other party, in this case the approved intermediary to comply with the terms of the agreement. Such failure can result in a possible loss of rights to the collateral, the inability of the approved intermediary to return the securities deposited by the lender and the possible loss of corporate benefits accruing thereon.</w:t>
      </w:r>
    </w:p>
    <w:p w14:paraId="7AA342CE"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BC"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bookmarkStart w:id="27" w:name="_heading=h.y2etq3rpcq9t" w:colFirst="0" w:colLast="0"/>
      <w:bookmarkEnd w:id="27"/>
      <w:proofErr w:type="gramStart"/>
      <w:r w:rsidRPr="00BA2938">
        <w:rPr>
          <w:rFonts w:ascii="Titillium Web" w:hAnsi="Titillium Web"/>
          <w:sz w:val="20"/>
          <w:szCs w:val="20"/>
        </w:rPr>
        <w:t>Short-selling</w:t>
      </w:r>
      <w:proofErr w:type="gramEnd"/>
      <w:r w:rsidRPr="00BA2938">
        <w:rPr>
          <w:rFonts w:ascii="Titillium Web" w:hAnsi="Titillium Web"/>
          <w:sz w:val="20"/>
          <w:szCs w:val="20"/>
        </w:rPr>
        <w:t xml:space="preserve"> is the sale of shares or securities that the seller does not own at the time of trading. Instead, he borrows it from someone who already owns it. Later, the short seller buys back the stock/security he shorted and returns the stock/security to the lender to close out the loan. The inherent risks are Counterparty risk and liquidity risk of the stock/security being borrowed. The security being short sold might be illiquid or become illiquid and covering of the security might occur at a much higher price level than anticipated, leading to losses.</w:t>
      </w:r>
    </w:p>
    <w:p w14:paraId="0B85B774"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BD" w14:textId="2E1BC95C"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b/>
          <w:sz w:val="20"/>
          <w:szCs w:val="20"/>
        </w:rPr>
      </w:pPr>
      <w:r w:rsidRPr="00BA2938">
        <w:rPr>
          <w:rFonts w:ascii="Titillium Web" w:hAnsi="Titillium Web"/>
          <w:b/>
          <w:sz w:val="20"/>
          <w:szCs w:val="20"/>
          <w:u w:val="single"/>
        </w:rPr>
        <w:t>Risk factor associated with segregated portfolio</w:t>
      </w:r>
    </w:p>
    <w:p w14:paraId="000003BE"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Investor holding units of segregated portfolio may not be able to liquidate their holding till the time realisable value is recovered.</w:t>
      </w:r>
    </w:p>
    <w:p w14:paraId="12FB88BE"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BF"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Security comprising of segregated portfolio may realise lower value or may realise zero value.</w:t>
      </w:r>
    </w:p>
    <w:p w14:paraId="2B5CE353"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C0"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bookmarkStart w:id="28" w:name="_heading=h.q12y5q9uhpsd" w:colFirst="0" w:colLast="0"/>
      <w:bookmarkEnd w:id="28"/>
      <w:r w:rsidRPr="00BA2938">
        <w:rPr>
          <w:rFonts w:ascii="Titillium Web" w:hAnsi="Titillium Web"/>
          <w:sz w:val="20"/>
          <w:szCs w:val="20"/>
        </w:rPr>
        <w:t>Listing of units of segregated portfolio in recognized stock exchange does not necessarily guarantee their liquidity. There may not be active trading of units in the stock market. Further trading price of units on the stock market may be significantly lower than the prevailing NAV.</w:t>
      </w:r>
    </w:p>
    <w:p w14:paraId="2F08B59B"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C1"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b/>
          <w:sz w:val="20"/>
          <w:szCs w:val="20"/>
          <w:u w:val="single"/>
        </w:rPr>
      </w:pPr>
      <w:r w:rsidRPr="00BA2938">
        <w:rPr>
          <w:rFonts w:ascii="Titillium Web" w:hAnsi="Titillium Web"/>
          <w:b/>
          <w:sz w:val="20"/>
          <w:szCs w:val="20"/>
          <w:u w:val="single"/>
        </w:rPr>
        <w:t>Risks factors associated with investments in Repo Transactions in Corporate Bond:</w:t>
      </w:r>
    </w:p>
    <w:p w14:paraId="000003C2"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 xml:space="preserve">In repo transactions, securities are sold with the seller agreeing to buy them back at later date. The repurchase price should be greater than the original sale price, the difference effectively representing interest. A repo is economically </w:t>
      </w:r>
      <w:proofErr w:type="gramStart"/>
      <w:r w:rsidRPr="00BA2938">
        <w:rPr>
          <w:rFonts w:ascii="Titillium Web" w:hAnsi="Titillium Web"/>
          <w:sz w:val="20"/>
          <w:szCs w:val="20"/>
        </w:rPr>
        <w:t>similar to</w:t>
      </w:r>
      <w:proofErr w:type="gramEnd"/>
      <w:r w:rsidRPr="00BA2938">
        <w:rPr>
          <w:rFonts w:ascii="Titillium Web" w:hAnsi="Titillium Web"/>
          <w:sz w:val="20"/>
          <w:szCs w:val="20"/>
        </w:rPr>
        <w:t xml:space="preserve"> a secured loan, with the buyer receiving corporate debt securities as collateral to protect against default. The Scheme may invest in repo of corporate debt securities which are subject to the following risks:</w:t>
      </w:r>
    </w:p>
    <w:p w14:paraId="34AED1BE"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C3"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lastRenderedPageBreak/>
        <w:t xml:space="preserve">Counter party Risk: </w:t>
      </w:r>
      <w:r w:rsidRPr="00BA2938">
        <w:rPr>
          <w:rFonts w:ascii="Titillium Web" w:hAnsi="Titillium Web"/>
          <w:sz w:val="20"/>
          <w:szCs w:val="20"/>
        </w:rPr>
        <w:t>This refers to the inability of the seller to meet the obligation to buy back securities at the contracted price on the contracted date. The Investment Manager will endeavor to manage counterparty risk by dealing only with counterparties, having strong credit profiles, approved by our credit risk analysis team. The exposure to each counterparty will be within the overall approved credit limits. Also, the counterparty risk is to an extent mitigated by taking collateral equivalent in value to the transaction after knocking off a minimum haircut on the intrinsic value of the collateral. In the event of default by the repo counterparty, the scheme shall have recourse to the corporate debt securities.</w:t>
      </w:r>
    </w:p>
    <w:p w14:paraId="000003C4" w14:textId="77777777" w:rsidR="00546EC1" w:rsidRPr="00BA2938" w:rsidRDefault="00546EC1"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C5"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bookmarkStart w:id="29" w:name="_heading=h.7two59ms08o" w:colFirst="0" w:colLast="0"/>
      <w:bookmarkEnd w:id="29"/>
      <w:r w:rsidRPr="00BA2938">
        <w:rPr>
          <w:rFonts w:ascii="Titillium Web" w:hAnsi="Titillium Web"/>
          <w:b/>
          <w:sz w:val="20"/>
          <w:szCs w:val="20"/>
        </w:rPr>
        <w:t xml:space="preserve">Collateral Risk: </w:t>
      </w:r>
      <w:r w:rsidRPr="00BA2938">
        <w:rPr>
          <w:rFonts w:ascii="Titillium Web" w:hAnsi="Titillium Web"/>
          <w:sz w:val="20"/>
          <w:szCs w:val="20"/>
        </w:rPr>
        <w:t xml:space="preserve">Collateral risk arises when the market value of the securities is inadequate to meet the repo obligations. This risk is mitigated by restricting participation in repo transactions only in AA or equivalent and above rated money market and corporate debt securities. Any rating downgrade </w:t>
      </w:r>
      <w:proofErr w:type="gramStart"/>
      <w:r w:rsidRPr="00BA2938">
        <w:rPr>
          <w:rFonts w:ascii="Titillium Web" w:hAnsi="Titillium Web"/>
          <w:sz w:val="20"/>
          <w:szCs w:val="20"/>
        </w:rPr>
        <w:t>will</w:t>
      </w:r>
      <w:proofErr w:type="gramEnd"/>
      <w:r w:rsidRPr="00BA2938">
        <w:rPr>
          <w:rFonts w:ascii="Titillium Web" w:hAnsi="Titillium Web"/>
          <w:sz w:val="20"/>
          <w:szCs w:val="20"/>
        </w:rPr>
        <w:t xml:space="preserve"> tantamount to either an early termination of the repo agreement or a call for fresh margin to meet the minimum haircut requirement. In addition, the Investment manager may apply a higher haircut on the underlying security than mentioned above to adjust for the illiquidity and interest rate risk on the underlying instrument. The adequacy of the collateral will be monitored </w:t>
      </w:r>
      <w:proofErr w:type="gramStart"/>
      <w:r w:rsidRPr="00BA2938">
        <w:rPr>
          <w:rFonts w:ascii="Titillium Web" w:hAnsi="Titillium Web"/>
          <w:sz w:val="20"/>
          <w:szCs w:val="20"/>
        </w:rPr>
        <w:t>on a daily basis</w:t>
      </w:r>
      <w:proofErr w:type="gramEnd"/>
      <w:r w:rsidRPr="00BA2938">
        <w:rPr>
          <w:rFonts w:ascii="Titillium Web" w:hAnsi="Titillium Web"/>
          <w:sz w:val="20"/>
          <w:szCs w:val="20"/>
        </w:rPr>
        <w:t xml:space="preserve"> by considering the daily market value &amp; applying the prescribed haircut. The fund manager shall then arrange for additional collateral from the counterparty, within a period of 1 business day. If the counterparty is not able to top-up either in the form of cash / collateral, it </w:t>
      </w:r>
      <w:proofErr w:type="gramStart"/>
      <w:r w:rsidRPr="00BA2938">
        <w:rPr>
          <w:rFonts w:ascii="Titillium Web" w:hAnsi="Titillium Web"/>
          <w:sz w:val="20"/>
          <w:szCs w:val="20"/>
        </w:rPr>
        <w:t>shall</w:t>
      </w:r>
      <w:proofErr w:type="gramEnd"/>
      <w:r w:rsidRPr="00BA2938">
        <w:rPr>
          <w:rFonts w:ascii="Titillium Web" w:hAnsi="Titillium Web"/>
          <w:sz w:val="20"/>
          <w:szCs w:val="20"/>
        </w:rPr>
        <w:t xml:space="preserve"> tantamount to early termination of the repo agreement.</w:t>
      </w:r>
    </w:p>
    <w:p w14:paraId="758A6E5F"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C6"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t>Risk Control &amp; Risk Mitigation Strategy</w:t>
      </w:r>
    </w:p>
    <w:p w14:paraId="000003C7"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 xml:space="preserve">The risk control process involves reducing risks through portfolio diversification. This diversification would help achieve the desired level of consistency in returns. The AMC aims to identify securities, which offer superior levels of yield at lower levels of risks. There would be regular rebalancing of the portfolio, </w:t>
      </w:r>
      <w:proofErr w:type="gramStart"/>
      <w:r w:rsidRPr="00BA2938">
        <w:rPr>
          <w:rFonts w:ascii="Titillium Web" w:hAnsi="Titillium Web"/>
          <w:sz w:val="20"/>
          <w:szCs w:val="20"/>
        </w:rPr>
        <w:t>taking into account</w:t>
      </w:r>
      <w:proofErr w:type="gramEnd"/>
      <w:r w:rsidRPr="00BA2938">
        <w:rPr>
          <w:rFonts w:ascii="Titillium Web" w:hAnsi="Titillium Web"/>
          <w:sz w:val="20"/>
          <w:szCs w:val="20"/>
        </w:rPr>
        <w:t xml:space="preserve"> the change in weights of stocks in the Index.</w:t>
      </w:r>
    </w:p>
    <w:p w14:paraId="0C7CB802"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C8" w14:textId="77777777" w:rsidR="00546EC1"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Nifty IT Index Fund being a passive investment carries lesser risk as compared to active fund management. The portfolio follows the index and therefore the level of stock concentration in the portfolio and its volatility would be the same as that of the index, subject to tracking error. Thus, there is no additional element of volatility or stock concentration on account of fund manager decisions.</w:t>
      </w:r>
    </w:p>
    <w:p w14:paraId="08276255" w14:textId="77777777" w:rsidR="00BA2938" w:rsidRPr="00BA2938" w:rsidRDefault="00BA2938"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p>
    <w:p w14:paraId="000003C9"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 xml:space="preserve">While these measures are expected to </w:t>
      </w:r>
      <w:proofErr w:type="gramStart"/>
      <w:r w:rsidRPr="00BA2938">
        <w:rPr>
          <w:rFonts w:ascii="Titillium Web" w:hAnsi="Titillium Web"/>
          <w:sz w:val="20"/>
          <w:szCs w:val="20"/>
        </w:rPr>
        <w:t>mitigate the above risks to a large extent</w:t>
      </w:r>
      <w:proofErr w:type="gramEnd"/>
      <w:r w:rsidRPr="00BA2938">
        <w:rPr>
          <w:rFonts w:ascii="Titillium Web" w:hAnsi="Titillium Web"/>
          <w:sz w:val="20"/>
          <w:szCs w:val="20"/>
        </w:rPr>
        <w:t xml:space="preserve">, there can be no assurance that these risks would be completely eliminated. </w:t>
      </w:r>
    </w:p>
    <w:tbl>
      <w:tblPr>
        <w:tblStyle w:val="a6"/>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5103"/>
      </w:tblGrid>
      <w:tr w:rsidR="00546EC1" w:rsidRPr="00BA2938" w14:paraId="534959B6" w14:textId="77777777">
        <w:tc>
          <w:tcPr>
            <w:tcW w:w="4390" w:type="dxa"/>
          </w:tcPr>
          <w:p w14:paraId="000003CA"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b/>
                <w:sz w:val="20"/>
                <w:szCs w:val="20"/>
              </w:rPr>
            </w:pPr>
            <w:r w:rsidRPr="00BA2938">
              <w:rPr>
                <w:rFonts w:ascii="Titillium Web" w:hAnsi="Titillium Web"/>
                <w:b/>
                <w:sz w:val="20"/>
                <w:szCs w:val="20"/>
              </w:rPr>
              <w:t>Risk and Description</w:t>
            </w:r>
          </w:p>
        </w:tc>
        <w:tc>
          <w:tcPr>
            <w:tcW w:w="5103" w:type="dxa"/>
          </w:tcPr>
          <w:p w14:paraId="000003CB"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b/>
                <w:sz w:val="20"/>
                <w:szCs w:val="20"/>
              </w:rPr>
            </w:pPr>
            <w:r w:rsidRPr="00BA2938">
              <w:rPr>
                <w:rFonts w:ascii="Titillium Web" w:hAnsi="Titillium Web"/>
                <w:b/>
                <w:sz w:val="20"/>
                <w:szCs w:val="20"/>
              </w:rPr>
              <w:t>Risk Mitigants/management strategy</w:t>
            </w:r>
          </w:p>
        </w:tc>
      </w:tr>
      <w:tr w:rsidR="00546EC1" w:rsidRPr="00BA2938" w14:paraId="40037A6D" w14:textId="77777777">
        <w:tc>
          <w:tcPr>
            <w:tcW w:w="9493" w:type="dxa"/>
            <w:gridSpan w:val="2"/>
          </w:tcPr>
          <w:p w14:paraId="000003CC"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b/>
                <w:sz w:val="20"/>
                <w:szCs w:val="20"/>
              </w:rPr>
              <w:t>Risks associated with Equity investments</w:t>
            </w:r>
          </w:p>
        </w:tc>
      </w:tr>
      <w:tr w:rsidR="00546EC1" w:rsidRPr="00BA2938" w14:paraId="607C833C" w14:textId="77777777">
        <w:tc>
          <w:tcPr>
            <w:tcW w:w="4390" w:type="dxa"/>
          </w:tcPr>
          <w:p w14:paraId="000003CE"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Derivatives Risk As and when the Scheme trades in the derivatives market there are risk factors and issues concerning the use of derivatives since derivative products are specialized instruments that require investment techniques and risk analyses different from those associated with stocks and bonds.</w:t>
            </w:r>
          </w:p>
        </w:tc>
        <w:tc>
          <w:tcPr>
            <w:tcW w:w="5103" w:type="dxa"/>
          </w:tcPr>
          <w:p w14:paraId="000003CF"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 xml:space="preserve">Derivatives will be used in the form of Index Options, Index Futures and other instruments as may be permitted by SEBI. All derivatives trade will be done only on the exchange with guaranteed settlement. The AMC monitors the portfolio and regulatory limits for derivatives through its front office monitoring system. Exposure to derivatives of stocks or underlying index will be done based on </w:t>
            </w:r>
            <w:r w:rsidRPr="00BA2938">
              <w:rPr>
                <w:rFonts w:ascii="Titillium Web" w:hAnsi="Titillium Web"/>
                <w:sz w:val="20"/>
                <w:szCs w:val="20"/>
              </w:rPr>
              <w:lastRenderedPageBreak/>
              <w:t>requisite research. Fund managers will endeavor to use derivatives which are liquid and traded frequently on the exchanges. Exposure with respect to derivatives shall be in line with regulatory limits and the limits specified in the SID. Such exposure shall also be regularly reviewed by the Fund manager. No OTC contracts will be entered into.</w:t>
            </w:r>
          </w:p>
        </w:tc>
      </w:tr>
      <w:tr w:rsidR="00546EC1" w:rsidRPr="00BA2938" w14:paraId="23C37442" w14:textId="77777777">
        <w:tc>
          <w:tcPr>
            <w:tcW w:w="4390" w:type="dxa"/>
          </w:tcPr>
          <w:p w14:paraId="000003D0"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lastRenderedPageBreak/>
              <w:t xml:space="preserve">Liquidity </w:t>
            </w:r>
            <w:proofErr w:type="gramStart"/>
            <w:r w:rsidRPr="00BA2938">
              <w:rPr>
                <w:rFonts w:ascii="Titillium Web" w:hAnsi="Titillium Web"/>
                <w:sz w:val="20"/>
                <w:szCs w:val="20"/>
              </w:rPr>
              <w:t>risk</w:t>
            </w:r>
            <w:proofErr w:type="gramEnd"/>
            <w:r w:rsidRPr="00BA2938">
              <w:rPr>
                <w:rFonts w:ascii="Titillium Web" w:hAnsi="Titillium Web"/>
                <w:sz w:val="20"/>
                <w:szCs w:val="20"/>
              </w:rPr>
              <w:t xml:space="preserve"> The liquidity of the Scheme’s investments is inherently restricted by trading volumes in the securities in which they invests</w:t>
            </w:r>
          </w:p>
        </w:tc>
        <w:tc>
          <w:tcPr>
            <w:tcW w:w="5103" w:type="dxa"/>
          </w:tcPr>
          <w:p w14:paraId="000003D1"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The Scheme will try to maintain a proper asset-liability match to ensure redemption payments are made on time and not affected by illiquidity of the underlying stocks</w:t>
            </w:r>
          </w:p>
        </w:tc>
      </w:tr>
      <w:tr w:rsidR="00546EC1" w:rsidRPr="00BA2938" w14:paraId="1C4FCB31" w14:textId="77777777">
        <w:tc>
          <w:tcPr>
            <w:tcW w:w="4390" w:type="dxa"/>
          </w:tcPr>
          <w:p w14:paraId="000003D2"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Tracking Error risk (Volatility/ Concentration risk): The performance of the Scheme may not be commensurate with the performance of the underlying Index on any given day or over any given period</w:t>
            </w:r>
          </w:p>
        </w:tc>
        <w:tc>
          <w:tcPr>
            <w:tcW w:w="5103" w:type="dxa"/>
          </w:tcPr>
          <w:p w14:paraId="000003D3"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Tracking Error risk (Volatility/ Concentration risk): Over a short to medium period, the Scheme may carry the risk of variance between portfolio composition and Benchmark. The objectives of the Scheme are to track the performance of the Underlying Index over the same period, subject to tracking error. The Scheme would endeavor to maintain a low tracking error by actively aligning the portfolio in line with the Index.</w:t>
            </w:r>
          </w:p>
        </w:tc>
      </w:tr>
      <w:tr w:rsidR="00546EC1" w:rsidRPr="00BA2938" w14:paraId="3C32C7A8" w14:textId="77777777">
        <w:tc>
          <w:tcPr>
            <w:tcW w:w="9493" w:type="dxa"/>
            <w:gridSpan w:val="2"/>
          </w:tcPr>
          <w:p w14:paraId="000003D4"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b/>
                <w:sz w:val="20"/>
                <w:szCs w:val="20"/>
              </w:rPr>
            </w:pPr>
            <w:r w:rsidRPr="00BA2938">
              <w:rPr>
                <w:rFonts w:ascii="Titillium Web" w:hAnsi="Titillium Web"/>
                <w:b/>
                <w:sz w:val="20"/>
                <w:szCs w:val="20"/>
              </w:rPr>
              <w:t>Risks associated with Debt/Money market investments</w:t>
            </w:r>
          </w:p>
        </w:tc>
      </w:tr>
      <w:tr w:rsidR="00546EC1" w:rsidRPr="00BA2938" w14:paraId="03223BFF" w14:textId="77777777">
        <w:tc>
          <w:tcPr>
            <w:tcW w:w="4390" w:type="dxa"/>
          </w:tcPr>
          <w:p w14:paraId="000003D6"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Market Risk/ Interest Rate Risk As with all debt securities, changes in interest rates may affect the Scheme’s Net Asset Value as the prices of securities generally increase as interest rates decline and generally decrease as interest rates rise. Prices of long-term securities generally fluctuate more in response to interest rate changes than do short-term securities. Indian debt markets can be volatile leading to the possibility of price movements up or down in fixed income securities and thereby to possible movements in the NAV</w:t>
            </w:r>
          </w:p>
        </w:tc>
        <w:tc>
          <w:tcPr>
            <w:tcW w:w="5103" w:type="dxa"/>
          </w:tcPr>
          <w:p w14:paraId="000003D7"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 xml:space="preserve">In a rising interest rate </w:t>
            </w:r>
            <w:proofErr w:type="gramStart"/>
            <w:r w:rsidRPr="00BA2938">
              <w:rPr>
                <w:rFonts w:ascii="Titillium Web" w:hAnsi="Titillium Web"/>
                <w:sz w:val="20"/>
                <w:szCs w:val="20"/>
              </w:rPr>
              <w:t>scenario</w:t>
            </w:r>
            <w:proofErr w:type="gramEnd"/>
            <w:r w:rsidRPr="00BA2938">
              <w:rPr>
                <w:rFonts w:ascii="Titillium Web" w:hAnsi="Titillium Web"/>
                <w:sz w:val="20"/>
                <w:szCs w:val="20"/>
              </w:rPr>
              <w:t xml:space="preserve"> the scheme may increase its investment in money market securities whereas if the interest rates are expected to fall the allocation to debt securities with longer maturity may be increased thereby mitigating risk to that extent.</w:t>
            </w:r>
          </w:p>
        </w:tc>
      </w:tr>
      <w:tr w:rsidR="00546EC1" w:rsidRPr="00BA2938" w14:paraId="53644F72" w14:textId="77777777">
        <w:tc>
          <w:tcPr>
            <w:tcW w:w="4390" w:type="dxa"/>
          </w:tcPr>
          <w:p w14:paraId="000003D8"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Liquidity or Marketability Risk This refers to the ease with which a security can be sold at or near to its valuation yield-to-maturity (YTM).</w:t>
            </w:r>
          </w:p>
        </w:tc>
        <w:tc>
          <w:tcPr>
            <w:tcW w:w="5103" w:type="dxa"/>
          </w:tcPr>
          <w:p w14:paraId="000003D9"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The Scheme may invest in government securities and money market instruments. While the liquidity risk for government securities and money market instruments may be low</w:t>
            </w:r>
          </w:p>
        </w:tc>
      </w:tr>
      <w:tr w:rsidR="00546EC1" w:rsidRPr="00BA2938" w14:paraId="4A48AFE4" w14:textId="77777777">
        <w:tc>
          <w:tcPr>
            <w:tcW w:w="4390" w:type="dxa"/>
          </w:tcPr>
          <w:p w14:paraId="000003DA"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Credit Risk Credit risk or default risk refers to the risk that an issuer of a fixed income security may default (i.e., will be unable to make timely principal and interest payments on the security).</w:t>
            </w:r>
          </w:p>
        </w:tc>
        <w:tc>
          <w:tcPr>
            <w:tcW w:w="5103" w:type="dxa"/>
          </w:tcPr>
          <w:p w14:paraId="000003DB"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 xml:space="preserve">Management analysis will be used for identifying company specific risks. Management’s past track record will also be studied. </w:t>
            </w:r>
            <w:proofErr w:type="gramStart"/>
            <w:r w:rsidRPr="00BA2938">
              <w:rPr>
                <w:rFonts w:ascii="Titillium Web" w:hAnsi="Titillium Web"/>
                <w:sz w:val="20"/>
                <w:szCs w:val="20"/>
              </w:rPr>
              <w:t>In order to</w:t>
            </w:r>
            <w:proofErr w:type="gramEnd"/>
            <w:r w:rsidRPr="00BA2938">
              <w:rPr>
                <w:rFonts w:ascii="Titillium Web" w:hAnsi="Titillium Web"/>
                <w:sz w:val="20"/>
                <w:szCs w:val="20"/>
              </w:rPr>
              <w:t xml:space="preserve"> assess financial risk a detailed assessment of the issuer’s financial statements will be undertaken</w:t>
            </w:r>
          </w:p>
        </w:tc>
      </w:tr>
      <w:tr w:rsidR="00546EC1" w:rsidRPr="00BA2938" w14:paraId="6190A8C0" w14:textId="77777777">
        <w:tc>
          <w:tcPr>
            <w:tcW w:w="4390" w:type="dxa"/>
          </w:tcPr>
          <w:p w14:paraId="000003DC"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lastRenderedPageBreak/>
              <w:t>Reinvestment Risk This risk refers to the interest rate levels at which cash flows received from the securities in the Schemes are reinvested the risk is that the rate at which interim cash flows can be reinvested may be lower than that originally assumed.</w:t>
            </w:r>
          </w:p>
        </w:tc>
        <w:tc>
          <w:tcPr>
            <w:tcW w:w="5103" w:type="dxa"/>
          </w:tcPr>
          <w:p w14:paraId="000003DD" w14:textId="77777777" w:rsidR="00546EC1" w:rsidRPr="00BA2938" w:rsidRDefault="00000000" w:rsidP="00BA2938">
            <w:pPr>
              <w:pBdr>
                <w:top w:val="nil"/>
                <w:left w:val="nil"/>
                <w:bottom w:val="nil"/>
                <w:right w:val="nil"/>
                <w:between w:val="nil"/>
              </w:pBdr>
              <w:tabs>
                <w:tab w:val="left" w:pos="142"/>
              </w:tabs>
              <w:spacing w:after="0" w:line="240" w:lineRule="auto"/>
              <w:jc w:val="both"/>
              <w:rPr>
                <w:rFonts w:ascii="Titillium Web" w:hAnsi="Titillium Web"/>
                <w:sz w:val="20"/>
                <w:szCs w:val="20"/>
              </w:rPr>
            </w:pPr>
            <w:r w:rsidRPr="00BA2938">
              <w:rPr>
                <w:rFonts w:ascii="Titillium Web" w:hAnsi="Titillium Web"/>
                <w:sz w:val="20"/>
                <w:szCs w:val="20"/>
              </w:rPr>
              <w:t>Reinvestment risks will be limited to the extent of coupons received on debt instruments, which will be a very small portion of the portfolio value</w:t>
            </w:r>
          </w:p>
        </w:tc>
      </w:tr>
    </w:tbl>
    <w:p w14:paraId="51E426F4" w14:textId="77777777" w:rsidR="00BA2938" w:rsidRDefault="00BA2938" w:rsidP="00BA2938">
      <w:pPr>
        <w:pStyle w:val="Heading1"/>
        <w:spacing w:before="0" w:line="240" w:lineRule="auto"/>
        <w:jc w:val="both"/>
        <w:rPr>
          <w:rFonts w:ascii="Titillium Web" w:eastAsia="Calibri" w:hAnsi="Titillium Web" w:cs="Calibri"/>
          <w:b/>
          <w:color w:val="000000"/>
          <w:sz w:val="28"/>
          <w:szCs w:val="28"/>
        </w:rPr>
      </w:pPr>
      <w:bookmarkStart w:id="30" w:name="_heading=h.4azxm3achu6y" w:colFirst="0" w:colLast="0"/>
      <w:bookmarkEnd w:id="30"/>
    </w:p>
    <w:p w14:paraId="686333D4" w14:textId="77777777" w:rsidR="00BA2938" w:rsidRDefault="00BA2938">
      <w:pPr>
        <w:rPr>
          <w:rFonts w:ascii="Titillium Web" w:hAnsi="Titillium Web"/>
          <w:b/>
          <w:color w:val="000000"/>
          <w:sz w:val="28"/>
          <w:szCs w:val="28"/>
        </w:rPr>
      </w:pPr>
      <w:r>
        <w:rPr>
          <w:rFonts w:ascii="Titillium Web" w:hAnsi="Titillium Web"/>
          <w:b/>
          <w:color w:val="000000"/>
          <w:sz w:val="28"/>
          <w:szCs w:val="28"/>
        </w:rPr>
        <w:br w:type="page"/>
      </w:r>
    </w:p>
    <w:p w14:paraId="000003DF" w14:textId="38B73B1A" w:rsidR="00546EC1" w:rsidRPr="00BA2938" w:rsidRDefault="00BA2938" w:rsidP="00FA14F4">
      <w:pPr>
        <w:pStyle w:val="Heading1"/>
        <w:spacing w:before="0" w:line="240" w:lineRule="auto"/>
        <w:jc w:val="center"/>
        <w:rPr>
          <w:rFonts w:ascii="Titillium Web" w:eastAsia="Calibri" w:hAnsi="Titillium Web" w:cs="Calibri"/>
          <w:b/>
          <w:color w:val="000000"/>
          <w:sz w:val="28"/>
          <w:szCs w:val="28"/>
        </w:rPr>
      </w:pPr>
      <w:r w:rsidRPr="00BA2938">
        <w:rPr>
          <w:rFonts w:ascii="Titillium Web" w:eastAsia="Calibri" w:hAnsi="Titillium Web" w:cs="Calibri"/>
          <w:b/>
          <w:color w:val="000000"/>
          <w:sz w:val="28"/>
          <w:szCs w:val="28"/>
        </w:rPr>
        <w:lastRenderedPageBreak/>
        <w:t>Navi Nifty 500 Multicap 50:25:25 Index Fund</w:t>
      </w:r>
    </w:p>
    <w:p w14:paraId="000003E0" w14:textId="77777777" w:rsidR="00546EC1" w:rsidRPr="00BA2938" w:rsidRDefault="00546EC1" w:rsidP="00BA2938">
      <w:pPr>
        <w:spacing w:after="0" w:line="240" w:lineRule="auto"/>
        <w:jc w:val="both"/>
        <w:rPr>
          <w:rFonts w:ascii="Titillium Web" w:hAnsi="Titillium Web"/>
          <w:sz w:val="20"/>
          <w:szCs w:val="20"/>
        </w:rPr>
      </w:pPr>
    </w:p>
    <w:p w14:paraId="000003E1"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Scheme Specific Risk Factors</w:t>
      </w:r>
    </w:p>
    <w:p w14:paraId="000003E2" w14:textId="77777777" w:rsidR="00546EC1" w:rsidRPr="00BA2938" w:rsidRDefault="00546EC1" w:rsidP="00BA2938">
      <w:pPr>
        <w:spacing w:after="0" w:line="240" w:lineRule="auto"/>
        <w:jc w:val="both"/>
        <w:rPr>
          <w:rFonts w:ascii="Titillium Web" w:hAnsi="Titillium Web"/>
          <w:b/>
          <w:sz w:val="20"/>
          <w:szCs w:val="20"/>
        </w:rPr>
      </w:pPr>
    </w:p>
    <w:p w14:paraId="000003E3"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associated with Equity and Equity Related Instruments:</w:t>
      </w:r>
    </w:p>
    <w:p w14:paraId="000003E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Investments in equity and equity related instruments involve a degree of risk, both company specific and market risks and thus investors should not invest in the Scheme unless they can afford to take the risk of losing their investment.</w:t>
      </w:r>
    </w:p>
    <w:p w14:paraId="000003E5" w14:textId="77777777" w:rsidR="00546EC1" w:rsidRPr="00BA2938" w:rsidRDefault="00546EC1" w:rsidP="00BA2938">
      <w:pPr>
        <w:spacing w:after="0" w:line="240" w:lineRule="auto"/>
        <w:jc w:val="both"/>
        <w:rPr>
          <w:rFonts w:ascii="Titillium Web" w:hAnsi="Titillium Web"/>
          <w:sz w:val="20"/>
          <w:szCs w:val="20"/>
        </w:rPr>
      </w:pPr>
    </w:p>
    <w:p w14:paraId="000003E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will invest in equity and equity related securities diversified over various sectors.  Thus, any price fluctuation for these securities may adversely affect the NAV of the units issued under the Scheme. The same may also lead to out-performance or under-performance of the scheme against Nifty Midcap 150 which is the benchmark index for the scheme.</w:t>
      </w:r>
    </w:p>
    <w:p w14:paraId="000003E7" w14:textId="77777777" w:rsidR="00546EC1" w:rsidRPr="00BA2938" w:rsidRDefault="00546EC1" w:rsidP="00BA2938">
      <w:pPr>
        <w:spacing w:after="0" w:line="240" w:lineRule="auto"/>
        <w:jc w:val="both"/>
        <w:rPr>
          <w:rFonts w:ascii="Titillium Web" w:hAnsi="Titillium Web"/>
          <w:sz w:val="20"/>
          <w:szCs w:val="20"/>
        </w:rPr>
      </w:pPr>
    </w:p>
    <w:p w14:paraId="000003E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Equity and Equity Related Instruments by nature are volatile and prone to price fluctuations </w:t>
      </w:r>
      <w:proofErr w:type="gramStart"/>
      <w:r w:rsidRPr="00BA2938">
        <w:rPr>
          <w:rFonts w:ascii="Titillium Web" w:hAnsi="Titillium Web"/>
          <w:sz w:val="20"/>
          <w:szCs w:val="20"/>
        </w:rPr>
        <w:t>on a daily basis</w:t>
      </w:r>
      <w:proofErr w:type="gramEnd"/>
      <w:r w:rsidRPr="00BA2938">
        <w:rPr>
          <w:rFonts w:ascii="Titillium Web" w:hAnsi="Titillium Web"/>
          <w:sz w:val="20"/>
          <w:szCs w:val="20"/>
        </w:rPr>
        <w:t xml:space="preserve"> due to macro and micro economic factors. The value of Equity and Equity Related Instruments may fluctuate due to factors affecting the securities markets such as volume and volatility in the capital markets, interest rates, currency exchange rates, changes in law/policies of the Government, taxation laws, political, economic or other developments, which may have an adverse impact on individual securities, a specific sector or all sectors. Consequently, the NAV of the Units issued under the Scheme may be adversely affected.</w:t>
      </w:r>
    </w:p>
    <w:p w14:paraId="000003E9" w14:textId="77777777" w:rsidR="00546EC1" w:rsidRPr="00BA2938" w:rsidRDefault="00546EC1" w:rsidP="00BA2938">
      <w:pPr>
        <w:spacing w:after="0" w:line="240" w:lineRule="auto"/>
        <w:jc w:val="both"/>
        <w:rPr>
          <w:rFonts w:ascii="Titillium Web" w:hAnsi="Titillium Web"/>
          <w:sz w:val="20"/>
          <w:szCs w:val="20"/>
        </w:rPr>
      </w:pPr>
    </w:p>
    <w:p w14:paraId="000003E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Equity and Equity Related Instruments listed on the stock exchange carry lower liquidity risk; </w:t>
      </w:r>
      <w:proofErr w:type="gramStart"/>
      <w:r w:rsidRPr="00BA2938">
        <w:rPr>
          <w:rFonts w:ascii="Titillium Web" w:hAnsi="Titillium Web"/>
          <w:sz w:val="20"/>
          <w:szCs w:val="20"/>
        </w:rPr>
        <w:t>however</w:t>
      </w:r>
      <w:proofErr w:type="gramEnd"/>
      <w:r w:rsidRPr="00BA2938">
        <w:rPr>
          <w:rFonts w:ascii="Titillium Web" w:hAnsi="Titillium Web"/>
          <w:sz w:val="20"/>
          <w:szCs w:val="20"/>
        </w:rPr>
        <w:t xml:space="preserve"> the Scheme’s ability to sell these investments is limited by the overall trading volume on the stock exchanges. In certain cases, settlement periods may be extended significantly by unforeseen circumstances. The inability of the Scheme to make intended securities purchases due to settlement problems could cause the Scheme to miss certain investment opportunities. Similarly, the inability to sell securities held in the Scheme's portfolio may result, at times, in potential losses to the Scheme, should there be a subsequent decline in the value of securities held in the Scheme's portfolio.</w:t>
      </w:r>
    </w:p>
    <w:p w14:paraId="000003EB" w14:textId="77777777" w:rsidR="00546EC1" w:rsidRPr="00BA2938" w:rsidRDefault="00546EC1" w:rsidP="00BA2938">
      <w:pPr>
        <w:spacing w:after="0" w:line="240" w:lineRule="auto"/>
        <w:jc w:val="both"/>
        <w:rPr>
          <w:rFonts w:ascii="Titillium Web" w:hAnsi="Titillium Web"/>
          <w:sz w:val="20"/>
          <w:szCs w:val="20"/>
        </w:rPr>
      </w:pPr>
    </w:p>
    <w:p w14:paraId="000003E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Scheme may invest in securities which are not listed on the stock exchanges. These securities may be illiquid in nature and carry a higher amount of liquidity risk, in comparison to securities that are listed on the stock exchanges or offer other exit options to the investor. The liquidity and valuation of the Scheme's investments due to its holdings of unlisted securities may be affected if they </w:t>
      </w:r>
      <w:proofErr w:type="gramStart"/>
      <w:r w:rsidRPr="00BA2938">
        <w:rPr>
          <w:rFonts w:ascii="Titillium Web" w:hAnsi="Titillium Web"/>
          <w:sz w:val="20"/>
          <w:szCs w:val="20"/>
        </w:rPr>
        <w:t>have to</w:t>
      </w:r>
      <w:proofErr w:type="gramEnd"/>
      <w:r w:rsidRPr="00BA2938">
        <w:rPr>
          <w:rFonts w:ascii="Titillium Web" w:hAnsi="Titillium Web"/>
          <w:sz w:val="20"/>
          <w:szCs w:val="20"/>
        </w:rPr>
        <w:t xml:space="preserve"> be sold prior to the target date of disinvestment.</w:t>
      </w:r>
    </w:p>
    <w:p w14:paraId="000003ED" w14:textId="77777777" w:rsidR="00546EC1" w:rsidRPr="00BA2938" w:rsidRDefault="00546EC1" w:rsidP="00BA2938">
      <w:pPr>
        <w:spacing w:after="0" w:line="240" w:lineRule="auto"/>
        <w:jc w:val="both"/>
        <w:rPr>
          <w:rFonts w:ascii="Titillium Web" w:hAnsi="Titillium Web"/>
          <w:sz w:val="20"/>
          <w:szCs w:val="20"/>
        </w:rPr>
      </w:pPr>
    </w:p>
    <w:p w14:paraId="000003EE"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Risks of Total Return </w:t>
      </w:r>
    </w:p>
    <w:p w14:paraId="000003E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Dividends are assumed to be reinvested into the Nifty Midcap 150 Index after the ex-dividend date of the constituents. However, in practice, the dividend is received with a lag. This can lead to some tracking error.</w:t>
      </w:r>
    </w:p>
    <w:p w14:paraId="000003F0" w14:textId="77777777" w:rsidR="00546EC1" w:rsidRPr="00BA2938" w:rsidRDefault="00546EC1" w:rsidP="00BA2938">
      <w:pPr>
        <w:spacing w:after="0" w:line="240" w:lineRule="auto"/>
        <w:jc w:val="both"/>
        <w:rPr>
          <w:rFonts w:ascii="Titillium Web" w:hAnsi="Titillium Web"/>
          <w:sz w:val="20"/>
          <w:szCs w:val="20"/>
        </w:rPr>
      </w:pPr>
    </w:p>
    <w:p w14:paraId="000003F1"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Index Fund Risk</w:t>
      </w:r>
    </w:p>
    <w:p w14:paraId="000003F2"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lastRenderedPageBreak/>
        <w:t>The Scheme being an index scheme follows a passive investment technique and shall only invest in Securities comprising one selected index as per investment objective of the Scheme. The Fund Manager would invest in the Securities comprising the underlying index irrespective of the market conditions. If the Securities market declines, the value of the investment held by the Scheme shall decrease.</w:t>
      </w:r>
    </w:p>
    <w:p w14:paraId="000003F3" w14:textId="77777777" w:rsidR="00546EC1" w:rsidRPr="00BA2938" w:rsidRDefault="00546EC1" w:rsidP="00BA2938">
      <w:pPr>
        <w:spacing w:after="0" w:line="240" w:lineRule="auto"/>
        <w:jc w:val="both"/>
        <w:rPr>
          <w:rFonts w:ascii="Titillium Web" w:hAnsi="Titillium Web"/>
          <w:sz w:val="20"/>
          <w:szCs w:val="20"/>
        </w:rPr>
      </w:pPr>
    </w:p>
    <w:p w14:paraId="000003F4"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Passive Investments </w:t>
      </w:r>
    </w:p>
    <w:p w14:paraId="000003F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Scheme is not actively managed. Since the Scheme is linked to index, it may be affected by a general decline in the Indian markets relating to its underlying index. The Scheme as per its investment objective invests in Securities which are constituents of its underlying index regardless of their investment merit. The AMC does not attempt to individually select stocks or to take defensive positions in declining markets.</w:t>
      </w:r>
    </w:p>
    <w:p w14:paraId="000003F6" w14:textId="77777777" w:rsidR="00546EC1" w:rsidRPr="00BA2938" w:rsidRDefault="00546EC1" w:rsidP="00BA2938">
      <w:pPr>
        <w:spacing w:after="0" w:line="240" w:lineRule="auto"/>
        <w:jc w:val="both"/>
        <w:rPr>
          <w:rFonts w:ascii="Titillium Web" w:hAnsi="Titillium Web"/>
          <w:b/>
          <w:sz w:val="20"/>
          <w:szCs w:val="20"/>
        </w:rPr>
      </w:pPr>
    </w:p>
    <w:p w14:paraId="000003F7"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Trading through mutual fund trading platforms of BSE and/ or NSE </w:t>
      </w:r>
    </w:p>
    <w:p w14:paraId="000003F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In respect of transaction in Units of the Scheme through BSE and/ or NSE, allotment and redemption of Units on any Business Day will depend upon the order processing/settlement by BSE and/ or NSE and their respective clearing corporations on which the Mutual Fund has no control.</w:t>
      </w:r>
    </w:p>
    <w:p w14:paraId="000003F9" w14:textId="77777777" w:rsidR="00546EC1" w:rsidRPr="00BA2938" w:rsidRDefault="00546EC1" w:rsidP="00BA2938">
      <w:pPr>
        <w:spacing w:after="0" w:line="240" w:lineRule="auto"/>
        <w:jc w:val="both"/>
        <w:rPr>
          <w:rFonts w:ascii="Titillium Web" w:hAnsi="Titillium Web"/>
          <w:sz w:val="20"/>
          <w:szCs w:val="20"/>
        </w:rPr>
      </w:pPr>
    </w:p>
    <w:p w14:paraId="000003FA"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associated with Fixed Income securities:</w:t>
      </w:r>
    </w:p>
    <w:p w14:paraId="000003FB" w14:textId="77777777" w:rsidR="00546EC1" w:rsidRPr="00BA2938" w:rsidRDefault="00546EC1" w:rsidP="00BA2938">
      <w:pPr>
        <w:spacing w:after="0" w:line="240" w:lineRule="auto"/>
        <w:jc w:val="both"/>
        <w:rPr>
          <w:rFonts w:ascii="Titillium Web" w:hAnsi="Titillium Web"/>
          <w:sz w:val="20"/>
          <w:szCs w:val="20"/>
        </w:rPr>
      </w:pPr>
    </w:p>
    <w:p w14:paraId="000003F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following are the risks associated with investment in Fixed Income securities:</w:t>
      </w:r>
    </w:p>
    <w:p w14:paraId="000003FD" w14:textId="77777777" w:rsidR="00546EC1" w:rsidRPr="00BA2938" w:rsidRDefault="00546EC1" w:rsidP="00BA2938">
      <w:pPr>
        <w:spacing w:after="0" w:line="240" w:lineRule="auto"/>
        <w:jc w:val="both"/>
        <w:rPr>
          <w:rFonts w:ascii="Titillium Web" w:hAnsi="Titillium Web"/>
          <w:sz w:val="20"/>
          <w:szCs w:val="20"/>
        </w:rPr>
      </w:pPr>
    </w:p>
    <w:p w14:paraId="000003F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Interest-Rate Risk:</w:t>
      </w:r>
      <w:r w:rsidRPr="00BA2938">
        <w:rPr>
          <w:rFonts w:ascii="Titillium Web" w:hAnsi="Titillium Web"/>
          <w:sz w:val="20"/>
          <w:szCs w:val="20"/>
        </w:rPr>
        <w:t xml:space="preserve"> Fixed income securities such as government bonds, corporate bonds, Money Market Instruments and Derivatives run price-risk or interest-rate risk. Generally, when interest rates rise, prices of existing fixed income securities fall and when interest rates drop, such prices increase. The extent of fall or rise in the prices depends upon the coupon and maturity of the security. It also depends upon the level at which the security is being traded.</w:t>
      </w:r>
    </w:p>
    <w:p w14:paraId="000003FF" w14:textId="77777777" w:rsidR="00546EC1" w:rsidRPr="00BA2938" w:rsidRDefault="00546EC1" w:rsidP="00BA2938">
      <w:pPr>
        <w:spacing w:after="0" w:line="240" w:lineRule="auto"/>
        <w:jc w:val="both"/>
        <w:rPr>
          <w:rFonts w:ascii="Titillium Web" w:hAnsi="Titillium Web"/>
          <w:sz w:val="20"/>
          <w:szCs w:val="20"/>
        </w:rPr>
      </w:pPr>
    </w:p>
    <w:p w14:paraId="0000040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Re-investment Risk: </w:t>
      </w:r>
      <w:r w:rsidRPr="00BA2938">
        <w:rPr>
          <w:rFonts w:ascii="Titillium Web" w:hAnsi="Titillium Web"/>
          <w:sz w:val="20"/>
          <w:szCs w:val="20"/>
        </w:rPr>
        <w:t>Investments in fixed income securities carry re-investment risk as interest rates prevailing on the coupon payment or maturity dates may differ from the original coupon of the bond.</w:t>
      </w:r>
    </w:p>
    <w:p w14:paraId="00000401" w14:textId="77777777" w:rsidR="00546EC1" w:rsidRPr="00BA2938" w:rsidRDefault="00546EC1" w:rsidP="00BA2938">
      <w:pPr>
        <w:spacing w:after="0" w:line="240" w:lineRule="auto"/>
        <w:jc w:val="both"/>
        <w:rPr>
          <w:rFonts w:ascii="Titillium Web" w:hAnsi="Titillium Web"/>
          <w:sz w:val="20"/>
          <w:szCs w:val="20"/>
        </w:rPr>
      </w:pPr>
    </w:p>
    <w:p w14:paraId="00000402"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Basis Risk</w:t>
      </w:r>
      <w:r w:rsidRPr="00BA2938">
        <w:rPr>
          <w:rFonts w:ascii="Titillium Web" w:hAnsi="Titillium Web"/>
          <w:sz w:val="20"/>
          <w:szCs w:val="20"/>
        </w:rPr>
        <w:t>: The underlying benchmark of a floating rate security or a swap might become less active or may cease to exist and thus may not be able to capture the exact interest rate movements, leading to loss of value of the portfolio.</w:t>
      </w:r>
    </w:p>
    <w:p w14:paraId="00000403" w14:textId="77777777" w:rsidR="00546EC1" w:rsidRPr="00BA2938" w:rsidRDefault="00546EC1" w:rsidP="00BA2938">
      <w:pPr>
        <w:spacing w:after="0" w:line="240" w:lineRule="auto"/>
        <w:jc w:val="both"/>
        <w:rPr>
          <w:rFonts w:ascii="Titillium Web" w:hAnsi="Titillium Web"/>
          <w:sz w:val="20"/>
          <w:szCs w:val="20"/>
        </w:rPr>
      </w:pPr>
    </w:p>
    <w:p w14:paraId="0000040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Spread Risk: </w:t>
      </w:r>
      <w:r w:rsidRPr="00BA2938">
        <w:rPr>
          <w:rFonts w:ascii="Titillium Web" w:hAnsi="Titillium Web"/>
          <w:sz w:val="20"/>
          <w:szCs w:val="20"/>
        </w:rPr>
        <w:t xml:space="preserve">In a floating rate </w:t>
      </w:r>
      <w:proofErr w:type="gramStart"/>
      <w:r w:rsidRPr="00BA2938">
        <w:rPr>
          <w:rFonts w:ascii="Titillium Web" w:hAnsi="Titillium Web"/>
          <w:sz w:val="20"/>
          <w:szCs w:val="20"/>
        </w:rPr>
        <w:t>security</w:t>
      </w:r>
      <w:proofErr w:type="gramEnd"/>
      <w:r w:rsidRPr="00BA2938">
        <w:rPr>
          <w:rFonts w:ascii="Titillium Web" w:hAnsi="Titillium Web"/>
          <w:sz w:val="20"/>
          <w:szCs w:val="20"/>
        </w:rPr>
        <w:t xml:space="preserve"> the coupon is expressed in terms of a spread or mark up over the benchmark rate. In the life of the security this spread may move adversely leading to loss in value of the portfolio. The yield of the underlying benchmark might not change, but the spread of the security over the underlying benchmark might increase leading to loss in value of the security.</w:t>
      </w:r>
    </w:p>
    <w:p w14:paraId="00000405" w14:textId="77777777" w:rsidR="00546EC1" w:rsidRPr="00BA2938" w:rsidRDefault="00546EC1" w:rsidP="00BA2938">
      <w:pPr>
        <w:spacing w:after="0" w:line="240" w:lineRule="auto"/>
        <w:jc w:val="both"/>
        <w:rPr>
          <w:rFonts w:ascii="Titillium Web" w:hAnsi="Titillium Web"/>
          <w:sz w:val="20"/>
          <w:szCs w:val="20"/>
        </w:rPr>
      </w:pPr>
    </w:p>
    <w:p w14:paraId="0000040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w:t>
      </w:r>
      <w:r w:rsidRPr="00BA2938">
        <w:rPr>
          <w:rFonts w:ascii="Titillium Web" w:hAnsi="Titillium Web"/>
          <w:sz w:val="20"/>
          <w:szCs w:val="20"/>
        </w:rPr>
        <w:t xml:space="preserve">The liquidity of a bond may change, depending on market conditions leading to changes in the liquidity premium attached to the price of the bond. At the time of selling the security, the security can become illiquid, leading to loss in value of the portfolio. </w:t>
      </w:r>
    </w:p>
    <w:p w14:paraId="00000407" w14:textId="77777777" w:rsidR="00546EC1" w:rsidRPr="00BA2938" w:rsidRDefault="00546EC1" w:rsidP="00BA2938">
      <w:pPr>
        <w:spacing w:after="0" w:line="240" w:lineRule="auto"/>
        <w:jc w:val="both"/>
        <w:rPr>
          <w:rFonts w:ascii="Titillium Web" w:hAnsi="Titillium Web"/>
          <w:sz w:val="20"/>
          <w:szCs w:val="20"/>
        </w:rPr>
      </w:pPr>
    </w:p>
    <w:p w14:paraId="0000040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Credit Risk: </w:t>
      </w:r>
      <w:r w:rsidRPr="00BA2938">
        <w:rPr>
          <w:rFonts w:ascii="Titillium Web" w:hAnsi="Titillium Web"/>
          <w:sz w:val="20"/>
          <w:szCs w:val="20"/>
        </w:rPr>
        <w:t xml:space="preserve">This is the risk associated with the issuer of a debenture/bond or a Money Market Instrument defaulting on coupon payments or in paying back the principal amount on maturity. Even when there is no default, the price of a security may change with expected changes in the credit rating of the issuer. It is to be noted here that a Government Security is a sovereign security and is the safest. Corporate bonds carry a higher amount of credit risk than Government Securities. Within corporate bonds also there are different levels of </w:t>
      </w:r>
      <w:proofErr w:type="gramStart"/>
      <w:r w:rsidRPr="00BA2938">
        <w:rPr>
          <w:rFonts w:ascii="Titillium Web" w:hAnsi="Titillium Web"/>
          <w:sz w:val="20"/>
          <w:szCs w:val="20"/>
        </w:rPr>
        <w:t>safety</w:t>
      </w:r>
      <w:proofErr w:type="gramEnd"/>
      <w:r w:rsidRPr="00BA2938">
        <w:rPr>
          <w:rFonts w:ascii="Titillium Web" w:hAnsi="Titillium Web"/>
          <w:sz w:val="20"/>
          <w:szCs w:val="20"/>
        </w:rPr>
        <w:t xml:space="preserve"> and a bond rated higher by a particular rating agency is safer than a bond rated lower by the same rating agency.</w:t>
      </w:r>
    </w:p>
    <w:p w14:paraId="00000409" w14:textId="77777777" w:rsidR="00546EC1" w:rsidRPr="00BA2938" w:rsidRDefault="00546EC1" w:rsidP="00BA2938">
      <w:pPr>
        <w:spacing w:after="0" w:line="240" w:lineRule="auto"/>
        <w:jc w:val="both"/>
        <w:rPr>
          <w:rFonts w:ascii="Titillium Web" w:hAnsi="Titillium Web"/>
          <w:b/>
          <w:sz w:val="20"/>
          <w:szCs w:val="20"/>
        </w:rPr>
      </w:pPr>
    </w:p>
    <w:p w14:paraId="0000040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on account of unlisted securities: </w:t>
      </w:r>
      <w:r w:rsidRPr="00BA2938">
        <w:rPr>
          <w:rFonts w:ascii="Titillium Web" w:hAnsi="Titillium Web"/>
          <w:sz w:val="20"/>
          <w:szCs w:val="20"/>
        </w:rPr>
        <w:t xml:space="preserve">The liquidity and valuation of the Scheme investments due to their holdings of unlisted securities may be affected if they </w:t>
      </w:r>
      <w:proofErr w:type="gramStart"/>
      <w:r w:rsidRPr="00BA2938">
        <w:rPr>
          <w:rFonts w:ascii="Titillium Web" w:hAnsi="Titillium Web"/>
          <w:sz w:val="20"/>
          <w:szCs w:val="20"/>
        </w:rPr>
        <w:t>have to</w:t>
      </w:r>
      <w:proofErr w:type="gramEnd"/>
      <w:r w:rsidRPr="00BA2938">
        <w:rPr>
          <w:rFonts w:ascii="Titillium Web" w:hAnsi="Titillium Web"/>
          <w:sz w:val="20"/>
          <w:szCs w:val="20"/>
        </w:rPr>
        <w:t xml:space="preserve"> be sold prior to their target date of divestment. The unlisted security can go down in value before the divestment date and selling of these securities before the divestment date can lead to losses in the portfolio.</w:t>
      </w:r>
    </w:p>
    <w:p w14:paraId="0000040B" w14:textId="77777777" w:rsidR="00546EC1" w:rsidRPr="00BA2938" w:rsidRDefault="00546EC1" w:rsidP="00BA2938">
      <w:pPr>
        <w:spacing w:after="0" w:line="240" w:lineRule="auto"/>
        <w:jc w:val="both"/>
        <w:rPr>
          <w:rFonts w:ascii="Titillium Web" w:hAnsi="Titillium Web"/>
          <w:sz w:val="20"/>
          <w:szCs w:val="20"/>
        </w:rPr>
      </w:pPr>
    </w:p>
    <w:p w14:paraId="0000040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Settlement Risk: </w:t>
      </w:r>
      <w:r w:rsidRPr="00BA2938">
        <w:rPr>
          <w:rFonts w:ascii="Titillium Web" w:hAnsi="Titillium Web"/>
          <w:sz w:val="20"/>
          <w:szCs w:val="20"/>
        </w:rPr>
        <w:t>Fixed income securities run the risk of settlement which can adversely affect the ability of the fund house to swiftly execute trading strategies which can lead to adverse movements in NAV.</w:t>
      </w:r>
    </w:p>
    <w:p w14:paraId="0000040D" w14:textId="77777777" w:rsidR="00546EC1" w:rsidRPr="00BA2938" w:rsidRDefault="00546EC1" w:rsidP="00BA2938">
      <w:pPr>
        <w:spacing w:after="0" w:line="240" w:lineRule="auto"/>
        <w:jc w:val="both"/>
        <w:rPr>
          <w:rFonts w:ascii="Titillium Web" w:hAnsi="Titillium Web"/>
          <w:sz w:val="20"/>
          <w:szCs w:val="20"/>
        </w:rPr>
      </w:pPr>
    </w:p>
    <w:p w14:paraId="0000040E"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Risks associated with investing in Tri-Party Repos Segments </w:t>
      </w:r>
    </w:p>
    <w:p w14:paraId="0000040F" w14:textId="77777777" w:rsidR="00546EC1" w:rsidRPr="00BA2938" w:rsidRDefault="00546EC1" w:rsidP="00BA2938">
      <w:pPr>
        <w:spacing w:after="0" w:line="240" w:lineRule="auto"/>
        <w:jc w:val="both"/>
        <w:rPr>
          <w:rFonts w:ascii="Titillium Web" w:hAnsi="Titillium Web"/>
          <w:b/>
          <w:sz w:val="20"/>
          <w:szCs w:val="20"/>
        </w:rPr>
      </w:pPr>
    </w:p>
    <w:p w14:paraId="0000041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mutual fund is a member of securities and Tri-Party Repos segments of the Clearing Corporation of India (CCIL). All transactions of the mutual fund in government securities and in Tri-Party Repos segments are settled centrally through the infrastructure and settlement systems provided by CCIL; </w:t>
      </w:r>
      <w:proofErr w:type="gramStart"/>
      <w:r w:rsidRPr="00BA2938">
        <w:rPr>
          <w:rFonts w:ascii="Titillium Web" w:hAnsi="Titillium Web"/>
          <w:sz w:val="20"/>
          <w:szCs w:val="20"/>
        </w:rPr>
        <w:t>thus</w:t>
      </w:r>
      <w:proofErr w:type="gramEnd"/>
      <w:r w:rsidRPr="00BA2938">
        <w:rPr>
          <w:rFonts w:ascii="Titillium Web" w:hAnsi="Titillium Web"/>
          <w:sz w:val="20"/>
          <w:szCs w:val="20"/>
        </w:rPr>
        <w:t xml:space="preserve"> reducing the settlement and counterparty risks considerably for transactions in the said segments. The members are required to contribute an amount as communicated by CCIL from time to time to the default fund maintained by CCIL as a part of the default waterfall (a loss mitigating measure of CCIL in case of default by any member in settling transactions routed through CCIL). The mutual fund is exposed to the extent of its contribution to the default fund of CCIL at any given point in time. In the event that the default waterfall is </w:t>
      </w:r>
      <w:proofErr w:type="gramStart"/>
      <w:r w:rsidRPr="00BA2938">
        <w:rPr>
          <w:rFonts w:ascii="Titillium Web" w:hAnsi="Titillium Web"/>
          <w:sz w:val="20"/>
          <w:szCs w:val="20"/>
        </w:rPr>
        <w:t>triggered</w:t>
      </w:r>
      <w:proofErr w:type="gramEnd"/>
      <w:r w:rsidRPr="00BA2938">
        <w:rPr>
          <w:rFonts w:ascii="Titillium Web" w:hAnsi="Titillium Web"/>
          <w:sz w:val="20"/>
          <w:szCs w:val="20"/>
        </w:rPr>
        <w:t xml:space="preserve"> and the contribution of the mutual fund is called upon to absorb settlement/default losses of another member by CCIL, the scheme may lose an amount equivalent to its contribution to the default fund allocated to the scheme on a pro-rata basis.</w:t>
      </w:r>
    </w:p>
    <w:p w14:paraId="00000411" w14:textId="77777777" w:rsidR="00546EC1" w:rsidRPr="00BA2938" w:rsidRDefault="00546EC1" w:rsidP="00BA2938">
      <w:pPr>
        <w:spacing w:after="0" w:line="240" w:lineRule="auto"/>
        <w:jc w:val="both"/>
        <w:rPr>
          <w:rFonts w:ascii="Titillium Web" w:hAnsi="Titillium Web"/>
          <w:sz w:val="20"/>
          <w:szCs w:val="20"/>
        </w:rPr>
      </w:pPr>
    </w:p>
    <w:p w14:paraId="00000412"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Tracking Error Risk </w:t>
      </w:r>
    </w:p>
    <w:p w14:paraId="00000413" w14:textId="77777777" w:rsidR="00546EC1" w:rsidRPr="00BA2938" w:rsidRDefault="00546EC1" w:rsidP="00BA2938">
      <w:pPr>
        <w:spacing w:after="0" w:line="240" w:lineRule="auto"/>
        <w:jc w:val="both"/>
        <w:rPr>
          <w:rFonts w:ascii="Titillium Web" w:hAnsi="Titillium Web"/>
          <w:sz w:val="20"/>
          <w:szCs w:val="20"/>
        </w:rPr>
      </w:pPr>
    </w:p>
    <w:p w14:paraId="0000041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Fund Manager would not be able to invest the entire corpus exactly in the same proportion as in the underlying index due to certain factors such as the fees and expenses of the Scheme, corporate actions, cash balance and changes to the underlying index and regulatory restrictions, lack of liquidity which may result in Tracking Error. Hence it may affect AMC’s ability to achieve close correlation with the underlying index of the Scheme. The Scheme’s returns may therefore deviate from its underlying index. "Tracking Error" is defined as the standard deviation of the difference between daily returns of the underlying index and the NAV of the Scheme. The Fund Manager would monitor the Tracking Error of the Scheme on an ongoing basis and would seek to minimize the Tracking Error. There can be no assurance or guarantee that the Scheme will achieve any </w:t>
      </w:r>
      <w:proofErr w:type="gramStart"/>
      <w:r w:rsidRPr="00BA2938">
        <w:rPr>
          <w:rFonts w:ascii="Titillium Web" w:hAnsi="Titillium Web"/>
          <w:sz w:val="20"/>
          <w:szCs w:val="20"/>
        </w:rPr>
        <w:t>particular level</w:t>
      </w:r>
      <w:proofErr w:type="gramEnd"/>
      <w:r w:rsidRPr="00BA2938">
        <w:rPr>
          <w:rFonts w:ascii="Titillium Web" w:hAnsi="Titillium Web"/>
          <w:sz w:val="20"/>
          <w:szCs w:val="20"/>
        </w:rPr>
        <w:t xml:space="preserve"> of Tracking Error relative to performance of the underlying Index.</w:t>
      </w:r>
    </w:p>
    <w:p w14:paraId="00000415" w14:textId="77777777" w:rsidR="00546EC1" w:rsidRPr="00BA2938" w:rsidRDefault="00546EC1" w:rsidP="00BA2938">
      <w:pPr>
        <w:spacing w:after="0" w:line="240" w:lineRule="auto"/>
        <w:jc w:val="both"/>
        <w:rPr>
          <w:rFonts w:ascii="Titillium Web" w:hAnsi="Titillium Web"/>
          <w:sz w:val="20"/>
          <w:szCs w:val="20"/>
        </w:rPr>
      </w:pPr>
    </w:p>
    <w:p w14:paraId="00000416"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lastRenderedPageBreak/>
        <w:t xml:space="preserve">Risk Factors relating to Portfolio Rebalancing </w:t>
      </w:r>
    </w:p>
    <w:p w14:paraId="00000417" w14:textId="77777777" w:rsidR="00546EC1" w:rsidRPr="00BA2938" w:rsidRDefault="00546EC1" w:rsidP="00BA2938">
      <w:pPr>
        <w:spacing w:after="0" w:line="240" w:lineRule="auto"/>
        <w:jc w:val="both"/>
        <w:rPr>
          <w:rFonts w:ascii="Titillium Web" w:hAnsi="Titillium Web"/>
          <w:b/>
          <w:sz w:val="20"/>
          <w:szCs w:val="20"/>
        </w:rPr>
      </w:pPr>
    </w:p>
    <w:p w14:paraId="00000418" w14:textId="77777777" w:rsidR="00546EC1" w:rsidRPr="00BA2938" w:rsidRDefault="00000000" w:rsidP="00BA2938">
      <w:pPr>
        <w:spacing w:after="0" w:line="240" w:lineRule="auto"/>
        <w:jc w:val="both"/>
        <w:rPr>
          <w:rFonts w:ascii="Titillium Web" w:hAnsi="Titillium Web"/>
          <w:sz w:val="20"/>
          <w:szCs w:val="20"/>
        </w:rPr>
      </w:pPr>
      <w:proofErr w:type="gramStart"/>
      <w:r w:rsidRPr="00BA2938">
        <w:rPr>
          <w:rFonts w:ascii="Titillium Web" w:hAnsi="Titillium Web"/>
          <w:sz w:val="20"/>
          <w:szCs w:val="20"/>
        </w:rPr>
        <w:t>In the event that</w:t>
      </w:r>
      <w:proofErr w:type="gramEnd"/>
      <w:r w:rsidRPr="00BA2938">
        <w:rPr>
          <w:rFonts w:ascii="Titillium Web" w:hAnsi="Titillium Web"/>
          <w:sz w:val="20"/>
          <w:szCs w:val="20"/>
        </w:rPr>
        <w:t xml:space="preserve"> the asset allocation of the Scheme deviates from the ranges as provided in the asset allocation table in this SID, then the Fund Manager will rebalance the portfolio of the Scheme to the position indicated in the asset allocation table.</w:t>
      </w:r>
    </w:p>
    <w:p w14:paraId="00000419" w14:textId="77777777" w:rsidR="00546EC1" w:rsidRPr="00BA2938" w:rsidRDefault="00546EC1" w:rsidP="00BA2938">
      <w:pPr>
        <w:spacing w:after="0" w:line="240" w:lineRule="auto"/>
        <w:jc w:val="both"/>
        <w:rPr>
          <w:rFonts w:ascii="Titillium Web" w:hAnsi="Titillium Web"/>
          <w:b/>
          <w:sz w:val="20"/>
          <w:szCs w:val="20"/>
        </w:rPr>
      </w:pPr>
    </w:p>
    <w:p w14:paraId="0000041A"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associated with Derivatives Transactions</w:t>
      </w:r>
    </w:p>
    <w:p w14:paraId="0000041B" w14:textId="77777777" w:rsidR="00546EC1" w:rsidRPr="00BA2938" w:rsidRDefault="00546EC1" w:rsidP="00BA2938">
      <w:pPr>
        <w:tabs>
          <w:tab w:val="left" w:pos="900"/>
        </w:tabs>
        <w:spacing w:after="0" w:line="240" w:lineRule="auto"/>
        <w:jc w:val="both"/>
        <w:rPr>
          <w:rFonts w:ascii="Titillium Web" w:hAnsi="Titillium Web"/>
          <w:b/>
          <w:sz w:val="20"/>
          <w:szCs w:val="20"/>
        </w:rPr>
      </w:pPr>
    </w:p>
    <w:p w14:paraId="0000041C" w14:textId="77777777" w:rsidR="00546EC1" w:rsidRPr="00BA2938" w:rsidRDefault="00000000" w:rsidP="00BA2938">
      <w:pPr>
        <w:tabs>
          <w:tab w:val="left" w:pos="900"/>
        </w:tabs>
        <w:spacing w:after="0" w:line="240" w:lineRule="auto"/>
        <w:jc w:val="both"/>
        <w:rPr>
          <w:rFonts w:ascii="Titillium Web" w:hAnsi="Titillium Web"/>
          <w:b/>
          <w:sz w:val="20"/>
          <w:szCs w:val="20"/>
        </w:rPr>
      </w:pPr>
      <w:r w:rsidRPr="00BA2938">
        <w:rPr>
          <w:rFonts w:ascii="Titillium Web" w:hAnsi="Titillium Web"/>
          <w:b/>
          <w:sz w:val="20"/>
          <w:szCs w:val="20"/>
        </w:rPr>
        <w:t xml:space="preserve">Systematic Risk: </w:t>
      </w:r>
      <w:r w:rsidRPr="00BA2938">
        <w:rPr>
          <w:rFonts w:ascii="Titillium Web" w:hAnsi="Titillium Web"/>
          <w:sz w:val="20"/>
          <w:szCs w:val="20"/>
        </w:rPr>
        <w:t>Systematic Risk is the risk associated with the entire market. Unlike unsystematic risk, it is not linked to a specific security or sector. Systematic risk is a market risk which can be due to macro-economic factors, news events, etc.</w:t>
      </w:r>
    </w:p>
    <w:p w14:paraId="0000041D" w14:textId="77777777" w:rsidR="00546EC1" w:rsidRPr="00BA2938" w:rsidRDefault="00546EC1" w:rsidP="00BA2938">
      <w:pPr>
        <w:tabs>
          <w:tab w:val="left" w:pos="900"/>
        </w:tabs>
        <w:spacing w:after="0" w:line="240" w:lineRule="auto"/>
        <w:jc w:val="both"/>
        <w:rPr>
          <w:rFonts w:ascii="Titillium Web" w:hAnsi="Titillium Web"/>
          <w:b/>
          <w:sz w:val="20"/>
          <w:szCs w:val="20"/>
        </w:rPr>
      </w:pPr>
    </w:p>
    <w:p w14:paraId="0000041E" w14:textId="77777777" w:rsidR="00546EC1" w:rsidRPr="00BA2938" w:rsidRDefault="00000000" w:rsidP="00BA2938">
      <w:pPr>
        <w:tabs>
          <w:tab w:val="left" w:pos="900"/>
        </w:tabs>
        <w:spacing w:after="0" w:line="240" w:lineRule="auto"/>
        <w:jc w:val="both"/>
        <w:rPr>
          <w:rFonts w:ascii="Titillium Web" w:hAnsi="Titillium Web"/>
          <w:sz w:val="20"/>
          <w:szCs w:val="20"/>
        </w:rPr>
      </w:pPr>
      <w:r w:rsidRPr="00BA2938">
        <w:rPr>
          <w:rFonts w:ascii="Titillium Web" w:hAnsi="Titillium Web"/>
          <w:b/>
          <w:sz w:val="20"/>
          <w:szCs w:val="20"/>
        </w:rPr>
        <w:t xml:space="preserve">Mark to Market Risk: </w:t>
      </w:r>
      <w:r w:rsidRPr="00BA2938">
        <w:rPr>
          <w:rFonts w:ascii="Titillium Web" w:hAnsi="Titillium Web"/>
          <w:sz w:val="20"/>
          <w:szCs w:val="20"/>
        </w:rPr>
        <w:t xml:space="preserve">This risk is on account of </w:t>
      </w:r>
      <w:proofErr w:type="gramStart"/>
      <w:r w:rsidRPr="00BA2938">
        <w:rPr>
          <w:rFonts w:ascii="Titillium Web" w:hAnsi="Titillium Web"/>
          <w:sz w:val="20"/>
          <w:szCs w:val="20"/>
        </w:rPr>
        <w:t>day to day</w:t>
      </w:r>
      <w:proofErr w:type="gramEnd"/>
      <w:r w:rsidRPr="00BA2938">
        <w:rPr>
          <w:rFonts w:ascii="Titillium Web" w:hAnsi="Titillium Web"/>
          <w:sz w:val="20"/>
          <w:szCs w:val="20"/>
        </w:rPr>
        <w:t xml:space="preserve"> fluctuations in the underlying Security and its derivative instrument, which can adversely impact the portfolio.</w:t>
      </w:r>
    </w:p>
    <w:p w14:paraId="0000041F" w14:textId="77777777" w:rsidR="00546EC1" w:rsidRPr="00BA2938" w:rsidRDefault="00000000" w:rsidP="00BA2938">
      <w:pPr>
        <w:tabs>
          <w:tab w:val="left" w:pos="900"/>
        </w:tabs>
        <w:spacing w:after="0" w:line="240" w:lineRule="auto"/>
        <w:jc w:val="both"/>
        <w:rPr>
          <w:rFonts w:ascii="Titillium Web" w:hAnsi="Titillium Web"/>
          <w:b/>
          <w:sz w:val="20"/>
          <w:szCs w:val="20"/>
        </w:rPr>
      </w:pPr>
      <w:r w:rsidRPr="00BA2938">
        <w:rPr>
          <w:rFonts w:ascii="Titillium Web" w:hAnsi="Titillium Web"/>
          <w:b/>
          <w:sz w:val="20"/>
          <w:szCs w:val="20"/>
        </w:rPr>
        <w:tab/>
      </w:r>
    </w:p>
    <w:p w14:paraId="0000042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Credit Risk: </w:t>
      </w:r>
      <w:r w:rsidRPr="00BA2938">
        <w:rPr>
          <w:rFonts w:ascii="Titillium Web" w:hAnsi="Titillium Web"/>
          <w:sz w:val="20"/>
          <w:szCs w:val="20"/>
        </w:rPr>
        <w:t>The credit risk is the risk that the counter party will default in its obligations and is generally small as in a Derivative transaction there is generally no exchange of the principal amount.</w:t>
      </w:r>
    </w:p>
    <w:p w14:paraId="00000421" w14:textId="77777777" w:rsidR="00546EC1" w:rsidRPr="00BA2938" w:rsidRDefault="00546EC1" w:rsidP="00BA2938">
      <w:pPr>
        <w:spacing w:after="0" w:line="240" w:lineRule="auto"/>
        <w:jc w:val="both"/>
        <w:rPr>
          <w:rFonts w:ascii="Titillium Web" w:hAnsi="Titillium Web"/>
          <w:sz w:val="20"/>
          <w:szCs w:val="20"/>
        </w:rPr>
      </w:pPr>
    </w:p>
    <w:p w14:paraId="00000422"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Interest rate risk</w:t>
      </w:r>
      <w:r w:rsidRPr="00BA2938">
        <w:rPr>
          <w:rFonts w:ascii="Titillium Web" w:hAnsi="Titillium Web"/>
          <w:sz w:val="20"/>
          <w:szCs w:val="20"/>
        </w:rPr>
        <w:t>: Derivatives carry the risk of adverse changes in the price due to change in interest rates.</w:t>
      </w:r>
    </w:p>
    <w:p w14:paraId="00000423" w14:textId="77777777" w:rsidR="00546EC1" w:rsidRPr="00BA2938" w:rsidRDefault="00546EC1" w:rsidP="00BA2938">
      <w:pPr>
        <w:spacing w:after="0" w:line="240" w:lineRule="auto"/>
        <w:jc w:val="both"/>
        <w:rPr>
          <w:rFonts w:ascii="Titillium Web" w:hAnsi="Titillium Web"/>
          <w:sz w:val="20"/>
          <w:szCs w:val="20"/>
        </w:rPr>
      </w:pPr>
    </w:p>
    <w:p w14:paraId="0000042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Basis Risk: </w:t>
      </w:r>
      <w:r w:rsidRPr="00BA2938">
        <w:rPr>
          <w:rFonts w:ascii="Titillium Web" w:hAnsi="Titillium Web"/>
          <w:sz w:val="20"/>
          <w:szCs w:val="20"/>
        </w:rPr>
        <w:t>When a security is hedged using a Derivative, the change in price of the security and the change in price of the Derivative may not be fully correlated leading to basis risk in the portfolio.</w:t>
      </w:r>
    </w:p>
    <w:p w14:paraId="00000425" w14:textId="77777777" w:rsidR="00546EC1" w:rsidRPr="00BA2938" w:rsidRDefault="00546EC1" w:rsidP="00BA2938">
      <w:pPr>
        <w:spacing w:after="0" w:line="240" w:lineRule="auto"/>
        <w:jc w:val="both"/>
        <w:rPr>
          <w:rFonts w:ascii="Titillium Web" w:hAnsi="Titillium Web"/>
          <w:sz w:val="20"/>
          <w:szCs w:val="20"/>
        </w:rPr>
      </w:pPr>
    </w:p>
    <w:p w14:paraId="0000042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w:t>
      </w:r>
      <w:r w:rsidRPr="00BA2938">
        <w:rPr>
          <w:rFonts w:ascii="Titillium Web" w:hAnsi="Titillium Web"/>
          <w:sz w:val="20"/>
          <w:szCs w:val="20"/>
        </w:rPr>
        <w:t>During the life of the Derivative, the benchmark might become Illiquid and might not be fully capturing the interest rate changes in the market, or the selling, unwinding prices might not reflect the underlying assets, rates and indices, leading to loss of value of the portfolio.</w:t>
      </w:r>
    </w:p>
    <w:p w14:paraId="00000427" w14:textId="77777777" w:rsidR="00546EC1" w:rsidRPr="00BA2938" w:rsidRDefault="00546EC1" w:rsidP="00BA2938">
      <w:pPr>
        <w:spacing w:after="0" w:line="240" w:lineRule="auto"/>
        <w:jc w:val="both"/>
        <w:rPr>
          <w:rFonts w:ascii="Titillium Web" w:hAnsi="Titillium Web"/>
          <w:sz w:val="20"/>
          <w:szCs w:val="20"/>
        </w:rPr>
      </w:pPr>
    </w:p>
    <w:p w14:paraId="00000428"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Model Risk: </w:t>
      </w:r>
      <w:r w:rsidRPr="00BA2938">
        <w:rPr>
          <w:rFonts w:ascii="Titillium Web" w:hAnsi="Titillium Web"/>
          <w:sz w:val="20"/>
          <w:szCs w:val="20"/>
        </w:rPr>
        <w:t>The risk of mis–pricing or improper valuation of Derivatives.</w:t>
      </w:r>
    </w:p>
    <w:p w14:paraId="00000429" w14:textId="77777777" w:rsidR="00546EC1" w:rsidRPr="00BA2938" w:rsidRDefault="00546EC1" w:rsidP="00BA2938">
      <w:pPr>
        <w:spacing w:after="0" w:line="240" w:lineRule="auto"/>
        <w:jc w:val="both"/>
        <w:rPr>
          <w:rFonts w:ascii="Titillium Web" w:hAnsi="Titillium Web"/>
          <w:sz w:val="20"/>
          <w:szCs w:val="20"/>
        </w:rPr>
      </w:pPr>
    </w:p>
    <w:p w14:paraId="0000042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Trade Execution: </w:t>
      </w:r>
      <w:r w:rsidRPr="00BA2938">
        <w:rPr>
          <w:rFonts w:ascii="Titillium Web" w:hAnsi="Titillium Web"/>
          <w:sz w:val="20"/>
          <w:szCs w:val="20"/>
        </w:rPr>
        <w:t xml:space="preserve">Risk where the final execution price is different from the screen price, leading to dilution in the spreads. </w:t>
      </w:r>
    </w:p>
    <w:p w14:paraId="0000042B" w14:textId="77777777" w:rsidR="00546EC1" w:rsidRPr="00BA2938" w:rsidRDefault="00546EC1" w:rsidP="00BA2938">
      <w:pPr>
        <w:spacing w:after="0" w:line="240" w:lineRule="auto"/>
        <w:jc w:val="both"/>
        <w:rPr>
          <w:rFonts w:ascii="Titillium Web" w:hAnsi="Titillium Web"/>
          <w:sz w:val="20"/>
          <w:szCs w:val="20"/>
        </w:rPr>
      </w:pPr>
    </w:p>
    <w:p w14:paraId="0000042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Systemic Risk: </w:t>
      </w:r>
      <w:r w:rsidRPr="00BA2938">
        <w:rPr>
          <w:rFonts w:ascii="Titillium Web" w:hAnsi="Titillium Web"/>
          <w:sz w:val="20"/>
          <w:szCs w:val="20"/>
        </w:rPr>
        <w:t>For Derivatives, especially OTC ones the failure of one Counter Party can put the whole system at risk and the whole system can come to a halt.</w:t>
      </w:r>
    </w:p>
    <w:p w14:paraId="0000042D" w14:textId="77777777" w:rsidR="00546EC1" w:rsidRPr="00BA2938" w:rsidRDefault="00546EC1" w:rsidP="00BA2938">
      <w:pPr>
        <w:spacing w:after="0" w:line="240" w:lineRule="auto"/>
        <w:jc w:val="both"/>
        <w:rPr>
          <w:rFonts w:ascii="Titillium Web" w:hAnsi="Titillium Web"/>
          <w:sz w:val="20"/>
          <w:szCs w:val="20"/>
        </w:rPr>
      </w:pPr>
    </w:p>
    <w:p w14:paraId="0000042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The scheme may invest in various derivative products in accordance with and to the extent permitted under the regulations from time to time.</w:t>
      </w:r>
    </w:p>
    <w:p w14:paraId="0000042F" w14:textId="77777777" w:rsidR="00546EC1" w:rsidRPr="00BA2938" w:rsidRDefault="00546EC1" w:rsidP="00BA2938">
      <w:pPr>
        <w:spacing w:after="0" w:line="240" w:lineRule="auto"/>
        <w:jc w:val="both"/>
        <w:rPr>
          <w:rFonts w:ascii="Titillium Web" w:hAnsi="Titillium Web"/>
          <w:sz w:val="20"/>
          <w:szCs w:val="20"/>
        </w:rPr>
      </w:pPr>
    </w:p>
    <w:p w14:paraId="0000043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Derivatives are financial contracts of pre-determined fixed duration, like stock Futures /options and index futures and options, whose values are derived from the value of an underlying primary financial instrument such as: Equities, Interest rates, Exchange rates.</w:t>
      </w:r>
    </w:p>
    <w:p w14:paraId="00000431" w14:textId="77777777" w:rsidR="00546EC1" w:rsidRPr="00BA2938" w:rsidRDefault="00546EC1" w:rsidP="00BA2938">
      <w:pPr>
        <w:spacing w:after="0" w:line="240" w:lineRule="auto"/>
        <w:jc w:val="both"/>
        <w:rPr>
          <w:rFonts w:ascii="Titillium Web" w:hAnsi="Titillium Web"/>
          <w:sz w:val="20"/>
          <w:szCs w:val="20"/>
        </w:rPr>
      </w:pPr>
    </w:p>
    <w:p w14:paraId="00000432"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Derivative products are specialized instruments that require investment techniques and risk analysis which are different from those associated with stocks and other traditional securities.</w:t>
      </w:r>
    </w:p>
    <w:p w14:paraId="00000433" w14:textId="77777777" w:rsidR="00546EC1" w:rsidRPr="00BA2938" w:rsidRDefault="00546EC1" w:rsidP="00BA2938">
      <w:pPr>
        <w:spacing w:after="0" w:line="240" w:lineRule="auto"/>
        <w:jc w:val="both"/>
        <w:rPr>
          <w:rFonts w:ascii="Titillium Web" w:hAnsi="Titillium Web"/>
          <w:sz w:val="20"/>
          <w:szCs w:val="20"/>
        </w:rPr>
      </w:pPr>
    </w:p>
    <w:p w14:paraId="00000434"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Derivatives are highly leveraged instruments and a small price fluctuation in the underlying can have a larger impact on its value. Thus, its use can lead to disproportionate gains or losses to the portfolio. Execution of derivatives instruments depends on the ability of the fund manager to identify good opportunities. Identification and execution of the strategies to be pursued by the fund manager involve uncertainty and decision of fund manager may not always be profitable. No assurance can be given that the fund manager will be able to identify or execute such strategies.</w:t>
      </w:r>
    </w:p>
    <w:p w14:paraId="00000435" w14:textId="77777777" w:rsidR="00546EC1" w:rsidRPr="00BA2938" w:rsidRDefault="00546EC1" w:rsidP="00BA2938">
      <w:pPr>
        <w:spacing w:after="0" w:line="240" w:lineRule="auto"/>
        <w:jc w:val="both"/>
        <w:rPr>
          <w:rFonts w:ascii="Titillium Web" w:hAnsi="Titillium Web"/>
          <w:sz w:val="20"/>
          <w:szCs w:val="20"/>
        </w:rPr>
      </w:pPr>
    </w:p>
    <w:p w14:paraId="00000436"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highlight w:val="white"/>
        </w:rPr>
        <w:t>The risks associated with the use of Derivatives are different from or possibly greater than, the risks associated with investing directly in securities and other traditional investments.</w:t>
      </w:r>
    </w:p>
    <w:p w14:paraId="00000437" w14:textId="77777777" w:rsidR="00546EC1" w:rsidRPr="00BA2938" w:rsidRDefault="00546EC1" w:rsidP="00BA2938">
      <w:pPr>
        <w:spacing w:after="0" w:line="240" w:lineRule="auto"/>
        <w:jc w:val="both"/>
        <w:rPr>
          <w:rFonts w:ascii="Titillium Web" w:hAnsi="Titillium Web"/>
          <w:sz w:val="20"/>
          <w:szCs w:val="20"/>
        </w:rPr>
      </w:pPr>
    </w:p>
    <w:p w14:paraId="00000438"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 associated with Short Selling &amp; Securities Lending</w:t>
      </w:r>
    </w:p>
    <w:p w14:paraId="0000043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Securities Lending is a lending of securities through an approved intermediary to a borrower under an agreement for a specified period with the condition that the borrower will return equivalent securities of the same type or class at the end of the specified period along with the corporate benefits accruing on the securities borrowed. There are risks inherent in securities lending, including the risk of failure of the other party, in this case the approved intermediary to comply with the terms of the agreement. Such failure can result in a possible loss of rights to the collateral, the inability of the approved intermediary to return the securities deposited by the lender and the possible loss of corporate benefits accruing thereon.</w:t>
      </w:r>
    </w:p>
    <w:p w14:paraId="0000043A" w14:textId="77777777" w:rsidR="00546EC1" w:rsidRPr="00BA2938" w:rsidRDefault="00546EC1" w:rsidP="00BA2938">
      <w:pPr>
        <w:spacing w:after="0" w:line="240" w:lineRule="auto"/>
        <w:jc w:val="both"/>
        <w:rPr>
          <w:rFonts w:ascii="Titillium Web" w:hAnsi="Titillium Web"/>
          <w:sz w:val="20"/>
          <w:szCs w:val="20"/>
        </w:rPr>
      </w:pPr>
    </w:p>
    <w:p w14:paraId="0000043B" w14:textId="77777777" w:rsidR="00546EC1" w:rsidRPr="00BA2938" w:rsidRDefault="00000000" w:rsidP="00BA2938">
      <w:pPr>
        <w:spacing w:after="0" w:line="240" w:lineRule="auto"/>
        <w:jc w:val="both"/>
        <w:rPr>
          <w:rFonts w:ascii="Titillium Web" w:hAnsi="Titillium Web"/>
          <w:sz w:val="20"/>
          <w:szCs w:val="20"/>
        </w:rPr>
      </w:pPr>
      <w:proofErr w:type="gramStart"/>
      <w:r w:rsidRPr="00BA2938">
        <w:rPr>
          <w:rFonts w:ascii="Titillium Web" w:hAnsi="Titillium Web"/>
          <w:sz w:val="20"/>
          <w:szCs w:val="20"/>
        </w:rPr>
        <w:t>Short-selling</w:t>
      </w:r>
      <w:proofErr w:type="gramEnd"/>
      <w:r w:rsidRPr="00BA2938">
        <w:rPr>
          <w:rFonts w:ascii="Titillium Web" w:hAnsi="Titillium Web"/>
          <w:sz w:val="20"/>
          <w:szCs w:val="20"/>
        </w:rPr>
        <w:t xml:space="preserve"> is the sale of shares or securities that the seller does not own at the time of trading.  Instead, he borrows it from someone who already owns it. Later, the short seller buys back the stock/security he shorted and returns the stock/security to the lender to close out the loan. The inherent risks are Counterparty risk and liquidity risk of the stock/security being borrowed. The security being short sold might be illiquid or become illiquid and covering of the security might occur at a much higher price level than anticipated, leading to losses.</w:t>
      </w:r>
    </w:p>
    <w:p w14:paraId="0000043C" w14:textId="77777777" w:rsidR="00546EC1" w:rsidRPr="00BA2938" w:rsidRDefault="00546EC1" w:rsidP="00BA2938">
      <w:pPr>
        <w:spacing w:after="0" w:line="240" w:lineRule="auto"/>
        <w:jc w:val="both"/>
        <w:rPr>
          <w:rFonts w:ascii="Titillium Web" w:hAnsi="Titillium Web"/>
          <w:sz w:val="20"/>
          <w:szCs w:val="20"/>
        </w:rPr>
      </w:pPr>
    </w:p>
    <w:p w14:paraId="0000043D"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 factor associated with segregated portfolio</w:t>
      </w:r>
    </w:p>
    <w:p w14:paraId="0000043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Investor holding units of segregated portfolio may </w:t>
      </w:r>
      <w:proofErr w:type="gramStart"/>
      <w:r w:rsidRPr="00BA2938">
        <w:rPr>
          <w:rFonts w:ascii="Titillium Web" w:hAnsi="Titillium Web"/>
          <w:sz w:val="20"/>
          <w:szCs w:val="20"/>
        </w:rPr>
        <w:t>not</w:t>
      </w:r>
      <w:proofErr w:type="gramEnd"/>
      <w:r w:rsidRPr="00BA2938">
        <w:rPr>
          <w:rFonts w:ascii="Titillium Web" w:hAnsi="Titillium Web"/>
          <w:sz w:val="20"/>
          <w:szCs w:val="20"/>
        </w:rPr>
        <w:t xml:space="preserve"> able to liquidate their holding till the time realisable value is recovered. </w:t>
      </w:r>
    </w:p>
    <w:p w14:paraId="0000043F" w14:textId="77777777" w:rsidR="00546EC1" w:rsidRPr="00BA2938" w:rsidRDefault="00546EC1" w:rsidP="00BA2938">
      <w:pPr>
        <w:spacing w:after="0" w:line="240" w:lineRule="auto"/>
        <w:jc w:val="both"/>
        <w:rPr>
          <w:rFonts w:ascii="Titillium Web" w:hAnsi="Titillium Web"/>
          <w:sz w:val="20"/>
          <w:szCs w:val="20"/>
        </w:rPr>
      </w:pPr>
    </w:p>
    <w:p w14:paraId="0000044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Security comprising of segregated portfolio may realise lower value or may realise zero value. </w:t>
      </w:r>
    </w:p>
    <w:p w14:paraId="00000441" w14:textId="77777777" w:rsidR="00546EC1" w:rsidRPr="00BA2938" w:rsidRDefault="00546EC1" w:rsidP="00BA2938">
      <w:pPr>
        <w:spacing w:after="0" w:line="240" w:lineRule="auto"/>
        <w:jc w:val="both"/>
        <w:rPr>
          <w:rFonts w:ascii="Titillium Web" w:hAnsi="Titillium Web"/>
          <w:sz w:val="20"/>
          <w:szCs w:val="20"/>
        </w:rPr>
      </w:pPr>
    </w:p>
    <w:p w14:paraId="00000442"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Listing of units of segregated portfolio in recognized stock exchange does not necessarily guarantee their liquidity. There may not be active trading of units in the stock market. Further trading price of units on the stock market may be significantly lower than the prevailing NAV.   </w:t>
      </w:r>
    </w:p>
    <w:p w14:paraId="00000443" w14:textId="77777777" w:rsidR="00546EC1" w:rsidRPr="00BA2938" w:rsidRDefault="00546EC1" w:rsidP="00BA2938">
      <w:pPr>
        <w:spacing w:after="0" w:line="240" w:lineRule="auto"/>
        <w:jc w:val="both"/>
        <w:rPr>
          <w:rFonts w:ascii="Titillium Web" w:hAnsi="Titillium Web"/>
          <w:sz w:val="20"/>
          <w:szCs w:val="20"/>
        </w:rPr>
      </w:pPr>
    </w:p>
    <w:p w14:paraId="00000444"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factors associated with investments in Repo Transactions in Corporate Bond:</w:t>
      </w:r>
    </w:p>
    <w:p w14:paraId="0000044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lastRenderedPageBreak/>
        <w:t xml:space="preserve">In repo transactions, securities are sold with the seller agreeing to buy them back at later date. The repurchase price should be greater than the original sale price, the difference effectively representing interest. A repo is economically </w:t>
      </w:r>
      <w:proofErr w:type="gramStart"/>
      <w:r w:rsidRPr="00BA2938">
        <w:rPr>
          <w:rFonts w:ascii="Titillium Web" w:hAnsi="Titillium Web"/>
          <w:sz w:val="20"/>
          <w:szCs w:val="20"/>
        </w:rPr>
        <w:t>similar to</w:t>
      </w:r>
      <w:proofErr w:type="gramEnd"/>
      <w:r w:rsidRPr="00BA2938">
        <w:rPr>
          <w:rFonts w:ascii="Titillium Web" w:hAnsi="Titillium Web"/>
          <w:sz w:val="20"/>
          <w:szCs w:val="20"/>
        </w:rPr>
        <w:t xml:space="preserve"> a secured loan, with the buyer receiving corporate debt securities as collateral to protect against default. The Scheme may invest in repo of corporate debt securities which are subject to the following risks:</w:t>
      </w:r>
    </w:p>
    <w:p w14:paraId="00000446" w14:textId="77777777" w:rsidR="00546EC1" w:rsidRPr="00BA2938" w:rsidRDefault="00546EC1" w:rsidP="00BA2938">
      <w:pPr>
        <w:spacing w:after="0" w:line="240" w:lineRule="auto"/>
        <w:jc w:val="both"/>
        <w:rPr>
          <w:rFonts w:ascii="Titillium Web" w:hAnsi="Titillium Web"/>
          <w:sz w:val="20"/>
          <w:szCs w:val="20"/>
        </w:rPr>
      </w:pPr>
    </w:p>
    <w:p w14:paraId="0000044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Counter party Risk: </w:t>
      </w:r>
      <w:r w:rsidRPr="00BA2938">
        <w:rPr>
          <w:rFonts w:ascii="Titillium Web" w:hAnsi="Titillium Web"/>
          <w:sz w:val="20"/>
          <w:szCs w:val="20"/>
        </w:rPr>
        <w:t xml:space="preserve">This refers to the inability of the seller to meet the obligation to buy back securities at the contracted price on the contracted date. The Investment Manager will endeavour to manage counterparty risk by dealing only with counterparties, having strong credit profiles, approved by our credit risk analysis team. The exposure to each counterparty will be within the overall approved credit limits. Also, the counterparty risk is to an extent mitigated by taking collateral equivalent in value to the transaction after knocking off a minimum haircut on the intrinsic value of the collateral. In the event of default by the repo counterparty, the scheme shall have recourse to the corporate debt securities. </w:t>
      </w:r>
    </w:p>
    <w:p w14:paraId="00000448" w14:textId="77777777" w:rsidR="00546EC1" w:rsidRPr="00BA2938" w:rsidRDefault="00546EC1" w:rsidP="00BA2938">
      <w:pPr>
        <w:spacing w:after="0" w:line="240" w:lineRule="auto"/>
        <w:jc w:val="both"/>
        <w:rPr>
          <w:rFonts w:ascii="Titillium Web" w:hAnsi="Titillium Web"/>
          <w:sz w:val="20"/>
          <w:szCs w:val="20"/>
        </w:rPr>
      </w:pPr>
    </w:p>
    <w:p w14:paraId="0000044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Collateral Risk: </w:t>
      </w:r>
      <w:r w:rsidRPr="00BA2938">
        <w:rPr>
          <w:rFonts w:ascii="Titillium Web" w:hAnsi="Titillium Web"/>
          <w:sz w:val="20"/>
          <w:szCs w:val="20"/>
        </w:rPr>
        <w:t xml:space="preserve">Collateral risk arises when the market value of the securities is inadequate to meet the repo obligations. This risk is mitigated by restricting participation in repo transactions only in AA or equivalent and above rated money market and corporate debt securities. Any rating downgrade </w:t>
      </w:r>
      <w:proofErr w:type="gramStart"/>
      <w:r w:rsidRPr="00BA2938">
        <w:rPr>
          <w:rFonts w:ascii="Titillium Web" w:hAnsi="Titillium Web"/>
          <w:sz w:val="20"/>
          <w:szCs w:val="20"/>
        </w:rPr>
        <w:t>will</w:t>
      </w:r>
      <w:proofErr w:type="gramEnd"/>
      <w:r w:rsidRPr="00BA2938">
        <w:rPr>
          <w:rFonts w:ascii="Titillium Web" w:hAnsi="Titillium Web"/>
          <w:sz w:val="20"/>
          <w:szCs w:val="20"/>
        </w:rPr>
        <w:t xml:space="preserve"> tantamount to either an early termination of the repo agreement or a call for fresh margin to meet the minimum haircut requirement. In addition, the Investment manager may apply a higher haircut on the underlying security than mentioned above to adjust for the illiquidity and interest rate risk on the underlying instrument. The adequacy of the collateral will be monitored </w:t>
      </w:r>
      <w:proofErr w:type="gramStart"/>
      <w:r w:rsidRPr="00BA2938">
        <w:rPr>
          <w:rFonts w:ascii="Titillium Web" w:hAnsi="Titillium Web"/>
          <w:sz w:val="20"/>
          <w:szCs w:val="20"/>
        </w:rPr>
        <w:t>on a daily basis</w:t>
      </w:r>
      <w:proofErr w:type="gramEnd"/>
      <w:r w:rsidRPr="00BA2938">
        <w:rPr>
          <w:rFonts w:ascii="Titillium Web" w:hAnsi="Titillium Web"/>
          <w:sz w:val="20"/>
          <w:szCs w:val="20"/>
        </w:rPr>
        <w:t xml:space="preserve"> by considering the daily market value &amp; applying the prescribed haircut. The fund manager shall then arrange for additional collateral from the counterparty, within a period of 1 business day. If the counterparty is not able to top-up either in form of cash / collateral, it </w:t>
      </w:r>
      <w:proofErr w:type="gramStart"/>
      <w:r w:rsidRPr="00BA2938">
        <w:rPr>
          <w:rFonts w:ascii="Titillium Web" w:hAnsi="Titillium Web"/>
          <w:sz w:val="20"/>
          <w:szCs w:val="20"/>
        </w:rPr>
        <w:t>shall</w:t>
      </w:r>
      <w:proofErr w:type="gramEnd"/>
      <w:r w:rsidRPr="00BA2938">
        <w:rPr>
          <w:rFonts w:ascii="Titillium Web" w:hAnsi="Titillium Web"/>
          <w:sz w:val="20"/>
          <w:szCs w:val="20"/>
        </w:rPr>
        <w:t xml:space="preserve"> tantamount to early termination of the repo agreement.</w:t>
      </w:r>
    </w:p>
    <w:p w14:paraId="0000044A" w14:textId="77777777" w:rsidR="00546EC1" w:rsidRPr="00BA2938" w:rsidRDefault="00546EC1" w:rsidP="00BA2938">
      <w:pPr>
        <w:spacing w:after="0" w:line="240" w:lineRule="auto"/>
        <w:jc w:val="both"/>
        <w:rPr>
          <w:rFonts w:ascii="Titillium Web" w:hAnsi="Titillium Web"/>
          <w:sz w:val="20"/>
          <w:szCs w:val="20"/>
        </w:rPr>
      </w:pPr>
    </w:p>
    <w:p w14:paraId="0000044B"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 Mitigation Process:</w:t>
      </w:r>
    </w:p>
    <w:p w14:paraId="0000044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risk control process involves reducing risks through portfolio diversification. This diversification would help achieve the desired level of consistency in returns. The AMC aims to identify securities, which offer superior levels of yield at lower levels of risks. There would be regular rebalancing of the portfolio, </w:t>
      </w:r>
      <w:proofErr w:type="gramStart"/>
      <w:r w:rsidRPr="00BA2938">
        <w:rPr>
          <w:rFonts w:ascii="Titillium Web" w:hAnsi="Titillium Web"/>
          <w:sz w:val="20"/>
          <w:szCs w:val="20"/>
        </w:rPr>
        <w:t>taking into account</w:t>
      </w:r>
      <w:proofErr w:type="gramEnd"/>
      <w:r w:rsidRPr="00BA2938">
        <w:rPr>
          <w:rFonts w:ascii="Titillium Web" w:hAnsi="Titillium Web"/>
          <w:sz w:val="20"/>
          <w:szCs w:val="20"/>
        </w:rPr>
        <w:t xml:space="preserve"> the change in weights of stocks in the Index.</w:t>
      </w:r>
    </w:p>
    <w:p w14:paraId="0000044D" w14:textId="77777777" w:rsidR="00546EC1" w:rsidRPr="00BA2938" w:rsidRDefault="00546EC1" w:rsidP="00BA2938">
      <w:pPr>
        <w:spacing w:after="0" w:line="240" w:lineRule="auto"/>
        <w:jc w:val="both"/>
        <w:rPr>
          <w:rFonts w:ascii="Titillium Web" w:hAnsi="Titillium Web"/>
          <w:sz w:val="20"/>
          <w:szCs w:val="20"/>
        </w:rPr>
      </w:pPr>
    </w:p>
    <w:p w14:paraId="0000044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Nifty Midcap 150 Index Fund being a passive investment carries lesser risk as compared to active fund management. The portfolio follows the index and therefore the level of stock concentration in the portfolio and its volatility would be the same as that of the index, subject to tracking error. </w:t>
      </w:r>
      <w:proofErr w:type="gramStart"/>
      <w:r w:rsidRPr="00BA2938">
        <w:rPr>
          <w:rFonts w:ascii="Titillium Web" w:hAnsi="Titillium Web"/>
          <w:sz w:val="20"/>
          <w:szCs w:val="20"/>
        </w:rPr>
        <w:t>Thus</w:t>
      </w:r>
      <w:proofErr w:type="gramEnd"/>
      <w:r w:rsidRPr="00BA2938">
        <w:rPr>
          <w:rFonts w:ascii="Titillium Web" w:hAnsi="Titillium Web"/>
          <w:sz w:val="20"/>
          <w:szCs w:val="20"/>
        </w:rPr>
        <w:t xml:space="preserve"> there is no additional element of volatility or stock concentration on account of fund manager decisions.</w:t>
      </w:r>
    </w:p>
    <w:p w14:paraId="0000044F" w14:textId="77777777" w:rsidR="00546EC1" w:rsidRPr="00BA2938" w:rsidRDefault="00546EC1" w:rsidP="00BA2938">
      <w:pPr>
        <w:spacing w:after="0" w:line="240" w:lineRule="auto"/>
        <w:jc w:val="both"/>
        <w:rPr>
          <w:rFonts w:ascii="Titillium Web" w:hAnsi="Titillium Web"/>
          <w:sz w:val="20"/>
          <w:szCs w:val="20"/>
        </w:rPr>
      </w:pPr>
    </w:p>
    <w:p w14:paraId="0000045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While these measures are expected to </w:t>
      </w:r>
      <w:proofErr w:type="gramStart"/>
      <w:r w:rsidRPr="00BA2938">
        <w:rPr>
          <w:rFonts w:ascii="Titillium Web" w:hAnsi="Titillium Web"/>
          <w:sz w:val="20"/>
          <w:szCs w:val="20"/>
        </w:rPr>
        <w:t>mitigate the above risks to a large extent</w:t>
      </w:r>
      <w:proofErr w:type="gramEnd"/>
      <w:r w:rsidRPr="00BA2938">
        <w:rPr>
          <w:rFonts w:ascii="Titillium Web" w:hAnsi="Titillium Web"/>
          <w:sz w:val="20"/>
          <w:szCs w:val="20"/>
        </w:rPr>
        <w:t>, there can be no assurance that these risks would be completely eliminated.</w:t>
      </w:r>
    </w:p>
    <w:p w14:paraId="00000451" w14:textId="77777777" w:rsidR="00546EC1" w:rsidRPr="00BA2938" w:rsidRDefault="00546EC1" w:rsidP="00BA2938">
      <w:pPr>
        <w:spacing w:after="0" w:line="240" w:lineRule="auto"/>
        <w:jc w:val="both"/>
        <w:rPr>
          <w:rFonts w:ascii="Titillium Web" w:hAnsi="Titillium Web"/>
          <w:sz w:val="20"/>
          <w:szCs w:val="20"/>
        </w:rPr>
      </w:pPr>
    </w:p>
    <w:p w14:paraId="00000452" w14:textId="77777777" w:rsidR="00546EC1" w:rsidRPr="00BA2938" w:rsidRDefault="00000000" w:rsidP="00BA2938">
      <w:pPr>
        <w:pStyle w:val="Heading2"/>
        <w:spacing w:before="0" w:line="240" w:lineRule="auto"/>
        <w:jc w:val="both"/>
        <w:rPr>
          <w:rFonts w:ascii="Titillium Web" w:eastAsia="Calibri" w:hAnsi="Titillium Web" w:cs="Calibri"/>
          <w:color w:val="000000"/>
          <w:sz w:val="20"/>
          <w:szCs w:val="20"/>
        </w:rPr>
      </w:pPr>
      <w:bookmarkStart w:id="31" w:name="_heading=h.t4ji3d2fetss" w:colFirst="0" w:colLast="0"/>
      <w:bookmarkEnd w:id="31"/>
      <w:r w:rsidRPr="00BA2938">
        <w:rPr>
          <w:rFonts w:ascii="Titillium Web" w:eastAsia="Calibri" w:hAnsi="Titillium Web" w:cs="Calibri"/>
          <w:b/>
          <w:color w:val="000000"/>
          <w:sz w:val="20"/>
          <w:szCs w:val="20"/>
        </w:rPr>
        <w:t xml:space="preserve">Risk mitigation strategies </w:t>
      </w:r>
    </w:p>
    <w:tbl>
      <w:tblPr>
        <w:tblStyle w:val="a7"/>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5103"/>
      </w:tblGrid>
      <w:tr w:rsidR="00546EC1" w:rsidRPr="00BA2938" w14:paraId="05A6AF4F" w14:textId="77777777">
        <w:tc>
          <w:tcPr>
            <w:tcW w:w="4390" w:type="dxa"/>
          </w:tcPr>
          <w:p w14:paraId="00000453"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sz w:val="20"/>
                <w:szCs w:val="20"/>
              </w:rPr>
            </w:pPr>
            <w:r w:rsidRPr="00BA2938">
              <w:rPr>
                <w:rFonts w:ascii="Titillium Web" w:hAnsi="Titillium Web"/>
                <w:b/>
                <w:sz w:val="20"/>
                <w:szCs w:val="20"/>
              </w:rPr>
              <w:t>Risk and Description</w:t>
            </w:r>
          </w:p>
        </w:tc>
        <w:tc>
          <w:tcPr>
            <w:tcW w:w="5103" w:type="dxa"/>
          </w:tcPr>
          <w:p w14:paraId="00000454"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sz w:val="20"/>
                <w:szCs w:val="20"/>
              </w:rPr>
            </w:pPr>
            <w:r w:rsidRPr="00BA2938">
              <w:rPr>
                <w:rFonts w:ascii="Titillium Web" w:hAnsi="Titillium Web"/>
                <w:b/>
                <w:sz w:val="20"/>
                <w:szCs w:val="20"/>
              </w:rPr>
              <w:t>Risk Mitigants/management strategy</w:t>
            </w:r>
          </w:p>
        </w:tc>
      </w:tr>
      <w:tr w:rsidR="00546EC1" w:rsidRPr="00BA2938" w14:paraId="66A03034" w14:textId="77777777">
        <w:tc>
          <w:tcPr>
            <w:tcW w:w="9493" w:type="dxa"/>
            <w:gridSpan w:val="2"/>
          </w:tcPr>
          <w:p w14:paraId="00000455"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b/>
                <w:sz w:val="20"/>
                <w:szCs w:val="20"/>
              </w:rPr>
              <w:lastRenderedPageBreak/>
              <w:t>Risks associated with Equity investments</w:t>
            </w:r>
          </w:p>
        </w:tc>
      </w:tr>
      <w:tr w:rsidR="00546EC1" w:rsidRPr="00BA2938" w14:paraId="2A66382C" w14:textId="77777777">
        <w:tc>
          <w:tcPr>
            <w:tcW w:w="4390" w:type="dxa"/>
          </w:tcPr>
          <w:p w14:paraId="00000457"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Derivatives Risk As and when the Scheme trades in the derivatives market there are risk factors and issues concerning the use of derivatives since derivative products are specialized instruments that require investment techniques and risk analyses different from those associated with stocks and bonds.</w:t>
            </w:r>
          </w:p>
        </w:tc>
        <w:tc>
          <w:tcPr>
            <w:tcW w:w="5103" w:type="dxa"/>
          </w:tcPr>
          <w:p w14:paraId="00000458"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Derivatives will be used in the form of Index Options, Index Futures and other instruments as may be permitted by SEBI. All derivatives trade will be done only on the exchange with guaranteed settlement. The AMC monitors the portfolio and regulatory limits for derivatives through its front office monitoring system. Exposure to derivatives of stocks or underlying index will be done based on requisite research. Fund managers will endeavor to use derivatives which are liquid and traded frequently on the exchanges. Exposure with respect to derivatives shall be in line with regulatory limits and the limits specified in the SID. Such exposure shall also be regularly reviewed by the Fund manager. No OTC contracts will be entered into.</w:t>
            </w:r>
          </w:p>
        </w:tc>
      </w:tr>
      <w:tr w:rsidR="00546EC1" w:rsidRPr="00BA2938" w14:paraId="2E85BE70" w14:textId="77777777">
        <w:tc>
          <w:tcPr>
            <w:tcW w:w="4390" w:type="dxa"/>
          </w:tcPr>
          <w:p w14:paraId="00000459"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 xml:space="preserve">Liquidity </w:t>
            </w:r>
            <w:proofErr w:type="gramStart"/>
            <w:r w:rsidRPr="00BA2938">
              <w:rPr>
                <w:rFonts w:ascii="Titillium Web" w:hAnsi="Titillium Web"/>
                <w:sz w:val="20"/>
                <w:szCs w:val="20"/>
              </w:rPr>
              <w:t>risk</w:t>
            </w:r>
            <w:proofErr w:type="gramEnd"/>
            <w:r w:rsidRPr="00BA2938">
              <w:rPr>
                <w:rFonts w:ascii="Titillium Web" w:hAnsi="Titillium Web"/>
                <w:sz w:val="20"/>
                <w:szCs w:val="20"/>
              </w:rPr>
              <w:t xml:space="preserve"> The liquidity of the Scheme’s investments is inherently restricted by trading volumes in the securities in which they invests</w:t>
            </w:r>
          </w:p>
        </w:tc>
        <w:tc>
          <w:tcPr>
            <w:tcW w:w="5103" w:type="dxa"/>
          </w:tcPr>
          <w:p w14:paraId="0000045A"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The Scheme will try to maintain a proper asset-liability match to ensure redemption payments are made on time and not affected by illiquidity of the underlying stocks</w:t>
            </w:r>
          </w:p>
        </w:tc>
      </w:tr>
      <w:tr w:rsidR="00546EC1" w:rsidRPr="00BA2938" w14:paraId="5BE788FB" w14:textId="77777777">
        <w:tc>
          <w:tcPr>
            <w:tcW w:w="4390" w:type="dxa"/>
          </w:tcPr>
          <w:p w14:paraId="0000045B"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Tracking Error risk (Volatility/ Concentration risk): The performance of the Scheme may not be commensurate with the performance of the underlying Index on any given day or over any given period</w:t>
            </w:r>
          </w:p>
        </w:tc>
        <w:tc>
          <w:tcPr>
            <w:tcW w:w="5103" w:type="dxa"/>
          </w:tcPr>
          <w:p w14:paraId="0000045C"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Tracking Error risk (Volatility/ Concentration risk): Over a short to medium period, the Scheme may carry the risk of variance between portfolio composition and Benchmark. The objectives of the Scheme are to track the performance of the Underlying Index over the same period, subject to tracking error. The Scheme would endeavor to maintain a low tracking error by actively aligning the portfolio in line with the Index.</w:t>
            </w:r>
          </w:p>
        </w:tc>
      </w:tr>
      <w:tr w:rsidR="00546EC1" w:rsidRPr="00BA2938" w14:paraId="5C7EEB29" w14:textId="77777777">
        <w:tc>
          <w:tcPr>
            <w:tcW w:w="9493" w:type="dxa"/>
            <w:gridSpan w:val="2"/>
          </w:tcPr>
          <w:p w14:paraId="0000045D"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b/>
                <w:sz w:val="20"/>
                <w:szCs w:val="20"/>
              </w:rPr>
            </w:pPr>
            <w:r w:rsidRPr="00BA2938">
              <w:rPr>
                <w:rFonts w:ascii="Titillium Web" w:hAnsi="Titillium Web"/>
                <w:b/>
                <w:sz w:val="20"/>
                <w:szCs w:val="20"/>
              </w:rPr>
              <w:t>Risks associated with Debt/Money market investments</w:t>
            </w:r>
          </w:p>
        </w:tc>
      </w:tr>
      <w:tr w:rsidR="00546EC1" w:rsidRPr="00BA2938" w14:paraId="0C1065E7" w14:textId="77777777">
        <w:tc>
          <w:tcPr>
            <w:tcW w:w="4390" w:type="dxa"/>
          </w:tcPr>
          <w:p w14:paraId="0000045F"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Market Risk/ Interest Rate Risk As with all debt securities, changes in interest rates may affect the Scheme’s Net Asset Value as the prices of securities generally increase as interest rates decline and generally decrease as interest rates rise. Prices of long-term securities generally fluctuate more in response to interest rate changes than do short-term securities. Indian debt markets can be volatile leading to the possibility of price movements up or down in fixed income securities and thereby to possible movements in the NAV</w:t>
            </w:r>
          </w:p>
        </w:tc>
        <w:tc>
          <w:tcPr>
            <w:tcW w:w="5103" w:type="dxa"/>
          </w:tcPr>
          <w:p w14:paraId="00000460"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 xml:space="preserve">In a rising interest rate </w:t>
            </w:r>
            <w:proofErr w:type="gramStart"/>
            <w:r w:rsidRPr="00BA2938">
              <w:rPr>
                <w:rFonts w:ascii="Titillium Web" w:hAnsi="Titillium Web"/>
                <w:sz w:val="20"/>
                <w:szCs w:val="20"/>
              </w:rPr>
              <w:t>scenario</w:t>
            </w:r>
            <w:proofErr w:type="gramEnd"/>
            <w:r w:rsidRPr="00BA2938">
              <w:rPr>
                <w:rFonts w:ascii="Titillium Web" w:hAnsi="Titillium Web"/>
                <w:sz w:val="20"/>
                <w:szCs w:val="20"/>
              </w:rPr>
              <w:t xml:space="preserve"> the scheme may increase its investment in money market securities whereas if the interest rates are expected to fall the allocation to debt securities with longer maturity may be increased thereby mitigating risk to that extent.</w:t>
            </w:r>
          </w:p>
        </w:tc>
      </w:tr>
      <w:tr w:rsidR="00546EC1" w:rsidRPr="00BA2938" w14:paraId="6C2218DF" w14:textId="77777777">
        <w:tc>
          <w:tcPr>
            <w:tcW w:w="4390" w:type="dxa"/>
          </w:tcPr>
          <w:p w14:paraId="00000461"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lastRenderedPageBreak/>
              <w:t>Liquidity or Marketability Risk This refers to the ease with which a security can be sold at or near to its valuation yield-to-maturity (YTM).</w:t>
            </w:r>
          </w:p>
        </w:tc>
        <w:tc>
          <w:tcPr>
            <w:tcW w:w="5103" w:type="dxa"/>
          </w:tcPr>
          <w:p w14:paraId="00000462"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The Scheme may invest in government securities and money market instruments. While the liquidity risk for government securities and money market instruments may be low</w:t>
            </w:r>
          </w:p>
        </w:tc>
      </w:tr>
      <w:tr w:rsidR="00546EC1" w:rsidRPr="00BA2938" w14:paraId="73210790" w14:textId="77777777">
        <w:tc>
          <w:tcPr>
            <w:tcW w:w="4390" w:type="dxa"/>
          </w:tcPr>
          <w:p w14:paraId="00000463"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Credit Risk Credit risk or default risk refers to the risk that an issuer of a fixed income security may default (i.e., will be unable to make timely principal and interest payments on the security).</w:t>
            </w:r>
          </w:p>
        </w:tc>
        <w:tc>
          <w:tcPr>
            <w:tcW w:w="5103" w:type="dxa"/>
          </w:tcPr>
          <w:p w14:paraId="00000464"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 xml:space="preserve">Management analysis will be used for identifying company specific risks. Management’s past track record will also be studied. </w:t>
            </w:r>
            <w:proofErr w:type="gramStart"/>
            <w:r w:rsidRPr="00BA2938">
              <w:rPr>
                <w:rFonts w:ascii="Titillium Web" w:hAnsi="Titillium Web"/>
                <w:sz w:val="20"/>
                <w:szCs w:val="20"/>
              </w:rPr>
              <w:t>In order to</w:t>
            </w:r>
            <w:proofErr w:type="gramEnd"/>
            <w:r w:rsidRPr="00BA2938">
              <w:rPr>
                <w:rFonts w:ascii="Titillium Web" w:hAnsi="Titillium Web"/>
                <w:sz w:val="20"/>
                <w:szCs w:val="20"/>
              </w:rPr>
              <w:t xml:space="preserve"> assess financial risk a detailed assessment of the issuer’s financial statements will be undertaken</w:t>
            </w:r>
          </w:p>
        </w:tc>
      </w:tr>
      <w:tr w:rsidR="00546EC1" w:rsidRPr="00BA2938" w14:paraId="552C165F" w14:textId="77777777">
        <w:tc>
          <w:tcPr>
            <w:tcW w:w="4390" w:type="dxa"/>
          </w:tcPr>
          <w:p w14:paraId="00000465"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 xml:space="preserve">Reinvestment Risk This risk refers to the interest rate levels at which cash flows received from the securities in the Schemes are reinvested </w:t>
            </w:r>
            <w:proofErr w:type="gramStart"/>
            <w:r w:rsidRPr="00BA2938">
              <w:rPr>
                <w:rFonts w:ascii="Titillium Web" w:hAnsi="Titillium Web"/>
                <w:sz w:val="20"/>
                <w:szCs w:val="20"/>
              </w:rPr>
              <w:t>The</w:t>
            </w:r>
            <w:proofErr w:type="gramEnd"/>
            <w:r w:rsidRPr="00BA2938">
              <w:rPr>
                <w:rFonts w:ascii="Titillium Web" w:hAnsi="Titillium Web"/>
                <w:sz w:val="20"/>
                <w:szCs w:val="20"/>
              </w:rPr>
              <w:t xml:space="preserve"> risk is that the rate at which interim cash flows can be reinvested may be lower than that originally assumed.</w:t>
            </w:r>
          </w:p>
        </w:tc>
        <w:tc>
          <w:tcPr>
            <w:tcW w:w="5103" w:type="dxa"/>
          </w:tcPr>
          <w:p w14:paraId="00000466"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sz w:val="20"/>
                <w:szCs w:val="20"/>
              </w:rPr>
            </w:pPr>
            <w:r w:rsidRPr="00BA2938">
              <w:rPr>
                <w:rFonts w:ascii="Titillium Web" w:hAnsi="Titillium Web"/>
                <w:sz w:val="20"/>
                <w:szCs w:val="20"/>
              </w:rPr>
              <w:t>Reinvestment risks will be limited to the extent of coupons received on debt instruments, which will be a very small portion of the portfolio value</w:t>
            </w:r>
          </w:p>
        </w:tc>
      </w:tr>
    </w:tbl>
    <w:p w14:paraId="2DD96E76" w14:textId="77777777" w:rsidR="002E6533" w:rsidRDefault="002E6533" w:rsidP="002E6533">
      <w:pPr>
        <w:pStyle w:val="Heading1"/>
        <w:spacing w:before="0" w:line="240" w:lineRule="auto"/>
        <w:jc w:val="both"/>
        <w:rPr>
          <w:rFonts w:ascii="Titillium Web" w:eastAsia="Calibri" w:hAnsi="Titillium Web" w:cs="Calibri"/>
          <w:b/>
          <w:color w:val="000000"/>
          <w:sz w:val="20"/>
          <w:szCs w:val="20"/>
        </w:rPr>
      </w:pPr>
      <w:bookmarkStart w:id="32" w:name="_heading=h.fg68llwrye6r" w:colFirst="0" w:colLast="0"/>
      <w:bookmarkEnd w:id="32"/>
    </w:p>
    <w:p w14:paraId="1209DDB6" w14:textId="77777777" w:rsidR="002E6533" w:rsidRDefault="002E6533">
      <w:pPr>
        <w:rPr>
          <w:rFonts w:ascii="Titillium Web" w:hAnsi="Titillium Web"/>
          <w:b/>
          <w:color w:val="000000"/>
          <w:sz w:val="20"/>
          <w:szCs w:val="20"/>
        </w:rPr>
      </w:pPr>
      <w:r>
        <w:rPr>
          <w:rFonts w:ascii="Titillium Web" w:hAnsi="Titillium Web"/>
          <w:b/>
          <w:color w:val="000000"/>
          <w:sz w:val="20"/>
          <w:szCs w:val="20"/>
        </w:rPr>
        <w:br w:type="page"/>
      </w:r>
    </w:p>
    <w:p w14:paraId="69FC4259" w14:textId="4E87881F" w:rsidR="002E6533" w:rsidRDefault="00000000" w:rsidP="002E6533">
      <w:pPr>
        <w:pStyle w:val="Heading1"/>
        <w:spacing w:before="0" w:line="240" w:lineRule="auto"/>
        <w:jc w:val="both"/>
        <w:rPr>
          <w:rFonts w:ascii="Titillium Web" w:eastAsia="Calibri" w:hAnsi="Titillium Web" w:cs="Calibri"/>
          <w:b/>
          <w:color w:val="000000"/>
          <w:sz w:val="28"/>
          <w:szCs w:val="28"/>
        </w:rPr>
      </w:pPr>
      <w:r w:rsidRPr="002E6533">
        <w:rPr>
          <w:rFonts w:ascii="Titillium Web" w:eastAsia="Calibri" w:hAnsi="Titillium Web" w:cs="Calibri"/>
          <w:b/>
          <w:color w:val="000000"/>
          <w:sz w:val="28"/>
          <w:szCs w:val="28"/>
        </w:rPr>
        <w:lastRenderedPageBreak/>
        <w:t xml:space="preserve">Navi Nifty Smallcap250 Momentum Quality 100 Index </w:t>
      </w:r>
      <w:sdt>
        <w:sdtPr>
          <w:rPr>
            <w:rFonts w:ascii="Titillium Web" w:hAnsi="Titillium Web"/>
            <w:sz w:val="28"/>
            <w:szCs w:val="28"/>
          </w:rPr>
          <w:tag w:val="goog_rdk_0"/>
          <w:id w:val="784770395"/>
        </w:sdtPr>
        <w:sdtContent>
          <w:commentRangeStart w:id="33"/>
        </w:sdtContent>
      </w:sdt>
      <w:r w:rsidRPr="002E6533">
        <w:rPr>
          <w:rFonts w:ascii="Titillium Web" w:eastAsia="Calibri" w:hAnsi="Titillium Web" w:cs="Calibri"/>
          <w:b/>
          <w:color w:val="000000"/>
          <w:sz w:val="28"/>
          <w:szCs w:val="28"/>
        </w:rPr>
        <w:t>Fund</w:t>
      </w:r>
      <w:commentRangeEnd w:id="33"/>
      <w:r w:rsidRPr="002E6533">
        <w:rPr>
          <w:rFonts w:ascii="Titillium Web" w:hAnsi="Titillium Web"/>
          <w:sz w:val="28"/>
          <w:szCs w:val="28"/>
        </w:rPr>
        <w:commentReference w:id="33"/>
      </w:r>
      <w:bookmarkStart w:id="34" w:name="_heading=h.exh1bs6crcq" w:colFirst="0" w:colLast="0"/>
      <w:bookmarkEnd w:id="34"/>
    </w:p>
    <w:p w14:paraId="407DE5E7" w14:textId="77777777" w:rsidR="002E6533" w:rsidRDefault="002E6533">
      <w:pPr>
        <w:rPr>
          <w:rFonts w:ascii="Titillium Web" w:hAnsi="Titillium Web"/>
          <w:b/>
          <w:color w:val="000000"/>
          <w:sz w:val="28"/>
          <w:szCs w:val="28"/>
        </w:rPr>
      </w:pPr>
      <w:r>
        <w:rPr>
          <w:rFonts w:ascii="Titillium Web" w:hAnsi="Titillium Web"/>
          <w:b/>
          <w:color w:val="000000"/>
          <w:sz w:val="28"/>
          <w:szCs w:val="28"/>
        </w:rPr>
        <w:br w:type="page"/>
      </w:r>
    </w:p>
    <w:p w14:paraId="0491D36C" w14:textId="77777777" w:rsidR="00BA2938" w:rsidRPr="00C30586" w:rsidRDefault="00BA2938" w:rsidP="00C30586">
      <w:pPr>
        <w:pStyle w:val="Heading1"/>
        <w:spacing w:before="0" w:line="240" w:lineRule="auto"/>
        <w:ind w:left="720"/>
        <w:jc w:val="both"/>
        <w:rPr>
          <w:rFonts w:ascii="Titillium Web" w:eastAsia="Calibri" w:hAnsi="Titillium Web" w:cs="Calibri"/>
          <w:b/>
          <w:color w:val="000000"/>
          <w:sz w:val="20"/>
          <w:szCs w:val="20"/>
        </w:rPr>
      </w:pPr>
    </w:p>
    <w:p w14:paraId="0000046B" w14:textId="0FBC6B70" w:rsidR="00546EC1" w:rsidRPr="00BA2938" w:rsidRDefault="00000000" w:rsidP="00FA14F4">
      <w:pPr>
        <w:pStyle w:val="Heading1"/>
        <w:spacing w:before="0" w:line="240" w:lineRule="auto"/>
        <w:jc w:val="center"/>
        <w:rPr>
          <w:rFonts w:ascii="Titillium Web" w:eastAsia="Calibri" w:hAnsi="Titillium Web" w:cs="Calibri"/>
          <w:b/>
          <w:color w:val="000000"/>
          <w:sz w:val="28"/>
          <w:szCs w:val="28"/>
        </w:rPr>
      </w:pPr>
      <w:r w:rsidRPr="00BA2938">
        <w:rPr>
          <w:rFonts w:ascii="Titillium Web" w:eastAsia="Calibri" w:hAnsi="Titillium Web" w:cs="Calibri"/>
          <w:b/>
          <w:color w:val="000000"/>
          <w:sz w:val="28"/>
          <w:szCs w:val="28"/>
        </w:rPr>
        <w:t>Navi US Total Stock Market Fund of Fund</w:t>
      </w:r>
    </w:p>
    <w:p w14:paraId="0000046C" w14:textId="77777777" w:rsidR="00546EC1" w:rsidRPr="00BA2938" w:rsidRDefault="00546EC1" w:rsidP="00BA2938">
      <w:pPr>
        <w:spacing w:after="0" w:line="240" w:lineRule="auto"/>
        <w:jc w:val="both"/>
        <w:rPr>
          <w:rFonts w:ascii="Titillium Web" w:hAnsi="Titillium Web"/>
          <w:sz w:val="20"/>
          <w:szCs w:val="20"/>
        </w:rPr>
      </w:pPr>
    </w:p>
    <w:p w14:paraId="0000046D"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Scheme Specific Risk Factors</w:t>
      </w:r>
    </w:p>
    <w:p w14:paraId="0000046E" w14:textId="77777777" w:rsidR="00546EC1" w:rsidRPr="00BA2938" w:rsidRDefault="00546EC1" w:rsidP="00BA2938">
      <w:pPr>
        <w:spacing w:after="0" w:line="240" w:lineRule="auto"/>
        <w:jc w:val="both"/>
        <w:rPr>
          <w:rFonts w:ascii="Titillium Web" w:hAnsi="Titillium Web"/>
          <w:b/>
          <w:sz w:val="20"/>
          <w:szCs w:val="20"/>
        </w:rPr>
      </w:pPr>
    </w:p>
    <w:p w14:paraId="0000046F"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sz w:val="20"/>
          <w:szCs w:val="20"/>
        </w:rPr>
        <w:t xml:space="preserve">The Scheme is subject to the risks described below. Some or </w:t>
      </w:r>
      <w:proofErr w:type="gramStart"/>
      <w:r w:rsidRPr="00BA2938">
        <w:rPr>
          <w:rFonts w:ascii="Titillium Web" w:hAnsi="Titillium Web"/>
          <w:sz w:val="20"/>
          <w:szCs w:val="20"/>
        </w:rPr>
        <w:t>all of</w:t>
      </w:r>
      <w:proofErr w:type="gramEnd"/>
      <w:r w:rsidRPr="00BA2938">
        <w:rPr>
          <w:rFonts w:ascii="Titillium Web" w:hAnsi="Titillium Web"/>
          <w:sz w:val="20"/>
          <w:szCs w:val="20"/>
        </w:rPr>
        <w:t xml:space="preserve"> these risks may adversely affect Scheme’s NAV, trading price, yield, return and/or its ability to meet its objectives.</w:t>
      </w:r>
    </w:p>
    <w:p w14:paraId="00000470" w14:textId="77777777" w:rsidR="00546EC1" w:rsidRPr="00BA2938" w:rsidRDefault="00546EC1" w:rsidP="00BA2938">
      <w:pPr>
        <w:spacing w:after="0" w:line="240" w:lineRule="auto"/>
        <w:jc w:val="both"/>
        <w:rPr>
          <w:rFonts w:ascii="Titillium Web" w:hAnsi="Titillium Web"/>
          <w:b/>
          <w:sz w:val="20"/>
          <w:szCs w:val="20"/>
        </w:rPr>
      </w:pPr>
    </w:p>
    <w:p w14:paraId="00000471" w14:textId="77777777" w:rsidR="00546EC1" w:rsidRPr="00BA2938" w:rsidRDefault="00000000" w:rsidP="00BA2938">
      <w:pPr>
        <w:numPr>
          <w:ilvl w:val="0"/>
          <w:numId w:val="10"/>
        </w:numPr>
        <w:spacing w:after="0" w:line="240" w:lineRule="auto"/>
        <w:ind w:left="360"/>
        <w:jc w:val="both"/>
        <w:rPr>
          <w:rFonts w:ascii="Titillium Web" w:hAnsi="Titillium Web"/>
          <w:sz w:val="20"/>
          <w:szCs w:val="20"/>
        </w:rPr>
      </w:pPr>
      <w:r w:rsidRPr="00BA2938">
        <w:rPr>
          <w:rFonts w:ascii="Titillium Web" w:hAnsi="Titillium Web"/>
          <w:sz w:val="20"/>
          <w:szCs w:val="20"/>
        </w:rPr>
        <w:t>The Scheme may invest in the units of units of the Vanguard Total Stock Market ETF (VTI) or in the Schwab Total Stock Market Index Fund (SWTSX). VTI employs an indexing investment approach designed to track the performance of the CRSP US Total Market Index, which represents approximately 100% of the investable U.S. stock market and includes large-, mid-, small-, and micro-cap stocks. The Fund invests by sampling the Index, meaning that it holds a broadly diversified collection of securities that, in the aggregate, approximates the full Index in terms of key characteristics. These key characteristics include industry weightings and market capitalization, as well as certain financial measures, such as price/earnings ratio and dividend yield. Any change in the investment policies or the fundamental attributes of the underlying scheme could affect the performance of the Scheme.</w:t>
      </w:r>
    </w:p>
    <w:p w14:paraId="00000472" w14:textId="77777777" w:rsidR="00546EC1" w:rsidRPr="00BA2938" w:rsidRDefault="00000000" w:rsidP="00BA2938">
      <w:pPr>
        <w:numPr>
          <w:ilvl w:val="0"/>
          <w:numId w:val="10"/>
        </w:numPr>
        <w:spacing w:after="0" w:line="240" w:lineRule="auto"/>
        <w:ind w:left="360"/>
        <w:jc w:val="both"/>
        <w:rPr>
          <w:rFonts w:ascii="Titillium Web" w:hAnsi="Titillium Web"/>
          <w:sz w:val="20"/>
          <w:szCs w:val="20"/>
        </w:rPr>
      </w:pPr>
      <w:r w:rsidRPr="00BA2938">
        <w:rPr>
          <w:rFonts w:ascii="Titillium Web" w:hAnsi="Titillium Web"/>
          <w:sz w:val="20"/>
          <w:szCs w:val="20"/>
        </w:rPr>
        <w:t xml:space="preserve">The Scheme will primarily invest in investing in units of the Vanguard Total Stock Market ETF (VTI) or in the Schwab Total Stock Market Index Fund (SWTSX). For every such investment, the risk factors of the underlying scheme will be relevant and must be treated as risk factors of Navi US </w:t>
      </w:r>
      <w:r w:rsidRPr="00BA2938">
        <w:rPr>
          <w:rFonts w:ascii="Titillium Web" w:hAnsi="Titillium Web"/>
          <w:sz w:val="20"/>
          <w:szCs w:val="20"/>
          <w:u w:val="single"/>
        </w:rPr>
        <w:t>Total Stock Market</w:t>
      </w:r>
      <w:r w:rsidRPr="00BA2938">
        <w:rPr>
          <w:rFonts w:ascii="Titillium Web" w:hAnsi="Titillium Web"/>
          <w:sz w:val="20"/>
          <w:szCs w:val="20"/>
        </w:rPr>
        <w:t xml:space="preserve"> Fund of Fund. The risks in such underlying scheme/s may relate to factors such as performance of underlying stocks, bonds, derivative instruments, offshore investments, interest rates </w:t>
      </w:r>
      <w:proofErr w:type="gramStart"/>
      <w:r w:rsidRPr="00BA2938">
        <w:rPr>
          <w:rFonts w:ascii="Titillium Web" w:hAnsi="Titillium Web"/>
          <w:sz w:val="20"/>
          <w:szCs w:val="20"/>
        </w:rPr>
        <w:t>risks</w:t>
      </w:r>
      <w:proofErr w:type="gramEnd"/>
      <w:r w:rsidRPr="00BA2938">
        <w:rPr>
          <w:rFonts w:ascii="Titillium Web" w:hAnsi="Titillium Web"/>
          <w:sz w:val="20"/>
          <w:szCs w:val="20"/>
        </w:rPr>
        <w:t>, and exchange risks, to name a few.</w:t>
      </w:r>
    </w:p>
    <w:p w14:paraId="00000473" w14:textId="77777777" w:rsidR="00546EC1" w:rsidRPr="00BA2938" w:rsidRDefault="00000000" w:rsidP="00BA2938">
      <w:pPr>
        <w:numPr>
          <w:ilvl w:val="0"/>
          <w:numId w:val="10"/>
        </w:numPr>
        <w:spacing w:after="0" w:line="240" w:lineRule="auto"/>
        <w:ind w:left="360"/>
        <w:jc w:val="both"/>
        <w:rPr>
          <w:rFonts w:ascii="Titillium Web" w:hAnsi="Titillium Web"/>
          <w:sz w:val="20"/>
          <w:szCs w:val="20"/>
        </w:rPr>
      </w:pPr>
      <w:r w:rsidRPr="00BA2938">
        <w:rPr>
          <w:rFonts w:ascii="Titillium Web" w:hAnsi="Titillium Web"/>
          <w:sz w:val="20"/>
          <w:szCs w:val="20"/>
        </w:rPr>
        <w:t>To the extent the assets of the Scheme are invested in overseas funds, the performance, risk profile and liquidity of the Scheme will be directly related to those of the underlying funds.</w:t>
      </w:r>
    </w:p>
    <w:p w14:paraId="00000474" w14:textId="77777777" w:rsidR="00546EC1" w:rsidRPr="00BA2938" w:rsidRDefault="00000000" w:rsidP="00BA2938">
      <w:pPr>
        <w:numPr>
          <w:ilvl w:val="0"/>
          <w:numId w:val="10"/>
        </w:numPr>
        <w:spacing w:after="0" w:line="240" w:lineRule="auto"/>
        <w:ind w:left="360"/>
        <w:jc w:val="both"/>
        <w:rPr>
          <w:rFonts w:ascii="Titillium Web" w:hAnsi="Titillium Web"/>
          <w:sz w:val="20"/>
          <w:szCs w:val="20"/>
        </w:rPr>
      </w:pPr>
      <w:r w:rsidRPr="00BA2938">
        <w:rPr>
          <w:rFonts w:ascii="Titillium Web" w:hAnsi="Titillium Web"/>
          <w:sz w:val="20"/>
          <w:szCs w:val="20"/>
        </w:rPr>
        <w:t>The funds in which the Scheme invests may not perform in line with the market and may also not achieve its investment objective. In such a situation, the performance of the Scheme could be affected and its ability to achieve its investment objective may be impaired.</w:t>
      </w:r>
    </w:p>
    <w:p w14:paraId="00000475" w14:textId="77777777" w:rsidR="00546EC1" w:rsidRPr="00BA2938" w:rsidRDefault="00000000" w:rsidP="00BA2938">
      <w:pPr>
        <w:numPr>
          <w:ilvl w:val="0"/>
          <w:numId w:val="10"/>
        </w:numPr>
        <w:spacing w:after="0" w:line="240" w:lineRule="auto"/>
        <w:ind w:left="360"/>
        <w:jc w:val="both"/>
        <w:rPr>
          <w:rFonts w:ascii="Titillium Web" w:hAnsi="Titillium Web"/>
          <w:sz w:val="20"/>
          <w:szCs w:val="20"/>
        </w:rPr>
      </w:pPr>
      <w:r w:rsidRPr="00BA2938">
        <w:rPr>
          <w:rFonts w:ascii="Titillium Web" w:hAnsi="Titillium Web"/>
          <w:sz w:val="20"/>
          <w:szCs w:val="20"/>
        </w:rPr>
        <w:t xml:space="preserve">Investments in underlying scheme will have all the risks associated with such schemes including performance of underlying stocks, derivative investments, </w:t>
      </w:r>
      <w:proofErr w:type="gramStart"/>
      <w:r w:rsidRPr="00BA2938">
        <w:rPr>
          <w:rFonts w:ascii="Titillium Web" w:hAnsi="Titillium Web"/>
          <w:sz w:val="20"/>
          <w:szCs w:val="20"/>
        </w:rPr>
        <w:t>off shore</w:t>
      </w:r>
      <w:proofErr w:type="gramEnd"/>
      <w:r w:rsidRPr="00BA2938">
        <w:rPr>
          <w:rFonts w:ascii="Titillium Web" w:hAnsi="Titillium Web"/>
          <w:sz w:val="20"/>
          <w:szCs w:val="20"/>
        </w:rPr>
        <w:t xml:space="preserve"> investments, stock lending, changes in credit rating, trading volumes, settlement periods, price/interest rate risk, volatility &amp; liquidity in money markets, basis risk, spread risk, re-investment risk, etc.</w:t>
      </w:r>
    </w:p>
    <w:p w14:paraId="00000476" w14:textId="77777777" w:rsidR="00546EC1" w:rsidRPr="00BA2938" w:rsidRDefault="00000000" w:rsidP="00BA2938">
      <w:pPr>
        <w:numPr>
          <w:ilvl w:val="0"/>
          <w:numId w:val="10"/>
        </w:numPr>
        <w:spacing w:after="0" w:line="240" w:lineRule="auto"/>
        <w:ind w:left="360"/>
        <w:jc w:val="both"/>
        <w:rPr>
          <w:rFonts w:ascii="Titillium Web" w:hAnsi="Titillium Web"/>
          <w:sz w:val="20"/>
          <w:szCs w:val="20"/>
        </w:rPr>
      </w:pPr>
      <w:r w:rsidRPr="00BA2938">
        <w:rPr>
          <w:rFonts w:ascii="Titillium Web" w:hAnsi="Titillium Web"/>
          <w:sz w:val="20"/>
          <w:szCs w:val="20"/>
        </w:rPr>
        <w:t>The investors should refer to the Scheme Information Documents and the related addendum for the scheme specific risk factors and special consideration of the respective Underlying Scheme.</w:t>
      </w:r>
    </w:p>
    <w:p w14:paraId="00000477" w14:textId="77777777" w:rsidR="00546EC1" w:rsidRPr="00BA2938" w:rsidRDefault="00000000" w:rsidP="00BA2938">
      <w:pPr>
        <w:numPr>
          <w:ilvl w:val="0"/>
          <w:numId w:val="10"/>
        </w:numPr>
        <w:spacing w:after="0" w:line="240" w:lineRule="auto"/>
        <w:ind w:left="360"/>
        <w:jc w:val="both"/>
        <w:rPr>
          <w:rFonts w:ascii="Titillium Web" w:hAnsi="Titillium Web"/>
          <w:sz w:val="20"/>
          <w:szCs w:val="20"/>
        </w:rPr>
      </w:pPr>
      <w:r w:rsidRPr="00BA2938">
        <w:rPr>
          <w:rFonts w:ascii="Titillium Web" w:hAnsi="Titillium Web"/>
          <w:sz w:val="20"/>
          <w:szCs w:val="20"/>
        </w:rPr>
        <w:t xml:space="preserve">Since the Scheme proposes to invest in underlying scheme, the Scheme's performance will depend upon the performance of the underlying scheme and any significant underperformance in even one of the underlying </w:t>
      </w:r>
      <w:proofErr w:type="gramStart"/>
      <w:r w:rsidRPr="00BA2938">
        <w:rPr>
          <w:rFonts w:ascii="Titillium Web" w:hAnsi="Titillium Web"/>
          <w:sz w:val="20"/>
          <w:szCs w:val="20"/>
        </w:rPr>
        <w:t>scheme</w:t>
      </w:r>
      <w:proofErr w:type="gramEnd"/>
      <w:r w:rsidRPr="00BA2938">
        <w:rPr>
          <w:rFonts w:ascii="Titillium Web" w:hAnsi="Titillium Web"/>
          <w:sz w:val="20"/>
          <w:szCs w:val="20"/>
        </w:rPr>
        <w:t xml:space="preserve"> may adversely affect the performance of the Scheme.</w:t>
      </w:r>
    </w:p>
    <w:p w14:paraId="00000478" w14:textId="77777777" w:rsidR="00546EC1" w:rsidRPr="00BA2938" w:rsidRDefault="00000000" w:rsidP="00BA2938">
      <w:pPr>
        <w:numPr>
          <w:ilvl w:val="0"/>
          <w:numId w:val="10"/>
        </w:numPr>
        <w:spacing w:after="0" w:line="240" w:lineRule="auto"/>
        <w:ind w:left="360"/>
        <w:jc w:val="both"/>
        <w:rPr>
          <w:rFonts w:ascii="Titillium Web" w:hAnsi="Titillium Web"/>
          <w:sz w:val="20"/>
          <w:szCs w:val="20"/>
        </w:rPr>
      </w:pPr>
      <w:r w:rsidRPr="00BA2938">
        <w:rPr>
          <w:rFonts w:ascii="Titillium Web" w:hAnsi="Titillium Web"/>
          <w:sz w:val="20"/>
          <w:szCs w:val="20"/>
        </w:rPr>
        <w:t>Any change in the investment policies or the fundamental attributes of the underlying scheme may affect the performance of the Scheme.</w:t>
      </w:r>
    </w:p>
    <w:p w14:paraId="00000479" w14:textId="77777777" w:rsidR="00546EC1" w:rsidRPr="00BA2938" w:rsidRDefault="00000000" w:rsidP="00BA2938">
      <w:pPr>
        <w:numPr>
          <w:ilvl w:val="0"/>
          <w:numId w:val="10"/>
        </w:numPr>
        <w:spacing w:after="0" w:line="240" w:lineRule="auto"/>
        <w:ind w:left="360"/>
        <w:jc w:val="both"/>
        <w:rPr>
          <w:rFonts w:ascii="Titillium Web" w:hAnsi="Titillium Web"/>
          <w:sz w:val="20"/>
          <w:szCs w:val="20"/>
        </w:rPr>
      </w:pPr>
      <w:r w:rsidRPr="00BA2938">
        <w:rPr>
          <w:rFonts w:ascii="Titillium Web" w:hAnsi="Titillium Web"/>
          <w:sz w:val="20"/>
          <w:szCs w:val="20"/>
        </w:rPr>
        <w:t>The Portfolio disclosure of the Scheme may be limited to providing the particulars of the underlying scheme where the Scheme has invested and may not include the investments made by the underlying scheme.</w:t>
      </w:r>
    </w:p>
    <w:p w14:paraId="0000047A" w14:textId="77777777" w:rsidR="00546EC1" w:rsidRPr="00BA2938" w:rsidRDefault="00000000" w:rsidP="00BA2938">
      <w:pPr>
        <w:numPr>
          <w:ilvl w:val="0"/>
          <w:numId w:val="10"/>
        </w:numPr>
        <w:spacing w:after="0" w:line="240" w:lineRule="auto"/>
        <w:ind w:left="360"/>
        <w:jc w:val="both"/>
        <w:rPr>
          <w:rFonts w:ascii="Titillium Web" w:hAnsi="Titillium Web"/>
          <w:sz w:val="20"/>
          <w:szCs w:val="20"/>
        </w:rPr>
      </w:pPr>
      <w:r w:rsidRPr="00BA2938">
        <w:rPr>
          <w:rFonts w:ascii="Titillium Web" w:hAnsi="Titillium Web"/>
          <w:sz w:val="20"/>
          <w:szCs w:val="20"/>
        </w:rPr>
        <w:lastRenderedPageBreak/>
        <w:t>The investors of the Scheme shall bear the recurring expenses of the Scheme in addition to the expenses of the underlying scheme. Hence the investor under the Scheme may receive lower pretax returns than what they may receive if they had invested directly in the underlying scheme in the same proportions.</w:t>
      </w:r>
    </w:p>
    <w:p w14:paraId="0000047B" w14:textId="77777777" w:rsidR="00546EC1" w:rsidRPr="00BA2938" w:rsidRDefault="00000000" w:rsidP="00BA2938">
      <w:pPr>
        <w:numPr>
          <w:ilvl w:val="0"/>
          <w:numId w:val="10"/>
        </w:numPr>
        <w:spacing w:after="0" w:line="240" w:lineRule="auto"/>
        <w:ind w:left="360"/>
        <w:jc w:val="both"/>
        <w:rPr>
          <w:rFonts w:ascii="Titillium Web" w:hAnsi="Titillium Web"/>
          <w:sz w:val="20"/>
          <w:szCs w:val="20"/>
        </w:rPr>
      </w:pPr>
      <w:r w:rsidRPr="00BA2938">
        <w:rPr>
          <w:rFonts w:ascii="Titillium Web" w:hAnsi="Titillium Web"/>
          <w:sz w:val="20"/>
          <w:szCs w:val="20"/>
        </w:rPr>
        <w:t>The Portfolio rebalancing may result in higher transaction costs.</w:t>
      </w:r>
    </w:p>
    <w:p w14:paraId="0000047C" w14:textId="77777777" w:rsidR="00546EC1" w:rsidRPr="00BA2938" w:rsidRDefault="00000000" w:rsidP="00BA2938">
      <w:pPr>
        <w:numPr>
          <w:ilvl w:val="0"/>
          <w:numId w:val="10"/>
        </w:numPr>
        <w:spacing w:after="0" w:line="240" w:lineRule="auto"/>
        <w:ind w:left="360"/>
        <w:jc w:val="both"/>
        <w:rPr>
          <w:rFonts w:ascii="Titillium Web" w:hAnsi="Titillium Web"/>
          <w:sz w:val="20"/>
          <w:szCs w:val="20"/>
        </w:rPr>
      </w:pPr>
      <w:r w:rsidRPr="00BA2938">
        <w:rPr>
          <w:rFonts w:ascii="Titillium Web" w:hAnsi="Titillium Web"/>
          <w:sz w:val="20"/>
          <w:szCs w:val="20"/>
        </w:rPr>
        <w:t>The Scheme’s performance may be impacted by exit loads or other redemption charges that may be charged at the time of redemption from the underlying scheme. Since the incidence of exit loads on investments made by the Scheme in underlying scheme of the Fund is based on first-in, first-out principle, it is anticipated that the impact of such exit loads/redemption charges could be minimal during the normal course of functioning of the Scheme.</w:t>
      </w:r>
    </w:p>
    <w:p w14:paraId="0000047D" w14:textId="77777777" w:rsidR="00546EC1" w:rsidRPr="00BA2938" w:rsidRDefault="00546EC1" w:rsidP="00BA2938">
      <w:pPr>
        <w:spacing w:after="0" w:line="240" w:lineRule="auto"/>
        <w:jc w:val="both"/>
        <w:rPr>
          <w:rFonts w:ascii="Titillium Web" w:hAnsi="Titillium Web"/>
          <w:sz w:val="20"/>
          <w:szCs w:val="20"/>
        </w:rPr>
      </w:pPr>
    </w:p>
    <w:p w14:paraId="0000047E"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 associated with investing in Vanguard Total Stock Market ETF (VTI) or the Schwab Total Stock Market Index Fund (SWTSX)</w:t>
      </w:r>
    </w:p>
    <w:p w14:paraId="0000047F" w14:textId="77777777" w:rsidR="00546EC1" w:rsidRPr="00BA2938" w:rsidRDefault="00546EC1" w:rsidP="00BA2938">
      <w:pPr>
        <w:spacing w:after="0" w:line="240" w:lineRule="auto"/>
        <w:jc w:val="both"/>
        <w:rPr>
          <w:rFonts w:ascii="Titillium Web" w:hAnsi="Titillium Web"/>
          <w:sz w:val="20"/>
          <w:szCs w:val="20"/>
        </w:rPr>
      </w:pPr>
    </w:p>
    <w:p w14:paraId="00000480" w14:textId="77777777" w:rsidR="00546EC1" w:rsidRPr="00BA2938" w:rsidRDefault="00000000" w:rsidP="00BA2938">
      <w:pPr>
        <w:numPr>
          <w:ilvl w:val="0"/>
          <w:numId w:val="1"/>
        </w:numPr>
        <w:tabs>
          <w:tab w:val="left" w:pos="0"/>
        </w:tabs>
        <w:spacing w:after="0" w:line="240" w:lineRule="auto"/>
        <w:ind w:left="284" w:hanging="284"/>
        <w:jc w:val="both"/>
        <w:rPr>
          <w:rFonts w:ascii="Titillium Web" w:hAnsi="Titillium Web"/>
          <w:sz w:val="20"/>
          <w:szCs w:val="20"/>
        </w:rPr>
      </w:pPr>
      <w:r w:rsidRPr="00BA2938">
        <w:rPr>
          <w:rFonts w:ascii="Titillium Web" w:hAnsi="Titillium Web"/>
          <w:sz w:val="20"/>
          <w:szCs w:val="20"/>
        </w:rPr>
        <w:t>Investments in the equity shares of the Companies constituting the Index are subject to price fluctuation on daily basis. The volatility in the value of equity is due to various micro and macroeconomic factors like economic and political developments, changes in interest rates, etc. affecting the securities markets. This may have adverse impact on individual securities/sector and consequently on the NAV of Scheme.</w:t>
      </w:r>
    </w:p>
    <w:p w14:paraId="00000481" w14:textId="77777777" w:rsidR="00546EC1" w:rsidRPr="00BA2938" w:rsidRDefault="00000000" w:rsidP="00BA2938">
      <w:pPr>
        <w:numPr>
          <w:ilvl w:val="0"/>
          <w:numId w:val="1"/>
        </w:numPr>
        <w:tabs>
          <w:tab w:val="left" w:pos="0"/>
        </w:tabs>
        <w:spacing w:after="0" w:line="240" w:lineRule="auto"/>
        <w:ind w:left="284"/>
        <w:jc w:val="both"/>
        <w:rPr>
          <w:rFonts w:ascii="Titillium Web" w:hAnsi="Titillium Web"/>
          <w:sz w:val="20"/>
          <w:szCs w:val="20"/>
        </w:rPr>
      </w:pPr>
      <w:r w:rsidRPr="00BA2938">
        <w:rPr>
          <w:rFonts w:ascii="Titillium Web" w:hAnsi="Titillium Web"/>
          <w:sz w:val="20"/>
          <w:szCs w:val="20"/>
        </w:rPr>
        <w:t>Listing and trading of the underlying scheme are undertaken on the Stock Exchanges within the rules, regulation and policy of the Stock Exchange and Regulator. Any change in trading rules, regulation and policy by the regulatory authority would have a bearing on the trading of the units of the underlying scheme and its prices.</w:t>
      </w:r>
    </w:p>
    <w:p w14:paraId="00000482" w14:textId="77777777" w:rsidR="00546EC1" w:rsidRPr="00BA2938" w:rsidRDefault="00000000" w:rsidP="00BA2938">
      <w:pPr>
        <w:numPr>
          <w:ilvl w:val="0"/>
          <w:numId w:val="1"/>
        </w:numPr>
        <w:tabs>
          <w:tab w:val="left" w:pos="0"/>
        </w:tabs>
        <w:spacing w:after="0" w:line="240" w:lineRule="auto"/>
        <w:ind w:left="284"/>
        <w:jc w:val="both"/>
        <w:rPr>
          <w:rFonts w:ascii="Titillium Web" w:hAnsi="Titillium Web"/>
          <w:sz w:val="20"/>
          <w:szCs w:val="20"/>
        </w:rPr>
      </w:pPr>
      <w:r w:rsidRPr="00BA2938">
        <w:rPr>
          <w:rFonts w:ascii="Titillium Web" w:hAnsi="Titillium Web"/>
          <w:sz w:val="20"/>
          <w:szCs w:val="20"/>
        </w:rPr>
        <w:t>The NAV of the underlying scheme reflect the valuation of its investment and any changes in market value of its investments would have a bearing on its NAV. When the units are traded on the Stock Exchange, the units of the underlying scheme may trade at prices which can be different from the NAV due to various factors like demand and supply for the units of the underlying scheme, perceived trends in the market outlook, etc.</w:t>
      </w:r>
    </w:p>
    <w:p w14:paraId="00000483" w14:textId="77777777" w:rsidR="00546EC1" w:rsidRPr="00BA2938" w:rsidRDefault="00000000" w:rsidP="00BA2938">
      <w:pPr>
        <w:numPr>
          <w:ilvl w:val="0"/>
          <w:numId w:val="1"/>
        </w:numPr>
        <w:tabs>
          <w:tab w:val="left" w:pos="0"/>
        </w:tabs>
        <w:spacing w:after="0" w:line="240" w:lineRule="auto"/>
        <w:ind w:left="284"/>
        <w:jc w:val="both"/>
        <w:rPr>
          <w:rFonts w:ascii="Titillium Web" w:hAnsi="Titillium Web"/>
          <w:sz w:val="20"/>
          <w:szCs w:val="20"/>
        </w:rPr>
      </w:pPr>
      <w:r w:rsidRPr="00BA2938">
        <w:rPr>
          <w:rFonts w:ascii="Titillium Web" w:hAnsi="Titillium Web"/>
          <w:sz w:val="20"/>
          <w:szCs w:val="20"/>
        </w:rPr>
        <w:t>Market Risk: The underlying scheme‘s NAV will react to stock market movements .The value of investments in the scheme may go down over a short or long period due to fluctuations in underlying scheme‘s NAV in response to factors such as performance of companies whose stock comprises the underlying portfolio, economic and political developments, changes is government policies, changes in interest rates, inflation and other monetary factors causing movement in prices of underlining investments.</w:t>
      </w:r>
    </w:p>
    <w:p w14:paraId="00000484" w14:textId="77777777" w:rsidR="00546EC1" w:rsidRPr="00BA2938" w:rsidRDefault="00000000" w:rsidP="00BA2938">
      <w:pPr>
        <w:numPr>
          <w:ilvl w:val="0"/>
          <w:numId w:val="1"/>
        </w:numPr>
        <w:tabs>
          <w:tab w:val="left" w:pos="0"/>
        </w:tabs>
        <w:spacing w:after="0" w:line="240" w:lineRule="auto"/>
        <w:ind w:left="284"/>
        <w:jc w:val="both"/>
        <w:rPr>
          <w:rFonts w:ascii="Titillium Web" w:hAnsi="Titillium Web"/>
          <w:sz w:val="20"/>
          <w:szCs w:val="20"/>
        </w:rPr>
      </w:pPr>
      <w:r w:rsidRPr="00BA2938">
        <w:rPr>
          <w:rFonts w:ascii="Titillium Web" w:hAnsi="Titillium Web"/>
          <w:sz w:val="20"/>
          <w:szCs w:val="20"/>
        </w:rPr>
        <w:t xml:space="preserve">Index-Related Risk: The underlying scheme invests in CRSP US Total Market Index securities in the same proportion as the securities have in the Index. Hence, the risk associated with the corresponding Index would be applicable to the underlying ETF’s and or index funds. The Index has its own criteria and policy for inclusion/exclusion of securities from the Index, its maintenance thereof and effecting corporate actions. The underlying ETF’s and or Index funds would invest in the securities of the Index regardless of investment merit, research, without taking a view of the market and without adopting any defensive measures. The underlying ETF’s and or Index funds would not select securities in which it wants to invest but is guided by the Index. As such the underlying ETF’s and or Index funds is not actively managed but is passively managed. </w:t>
      </w:r>
    </w:p>
    <w:p w14:paraId="00000485" w14:textId="77777777" w:rsidR="00546EC1" w:rsidRPr="00BA2938" w:rsidRDefault="00000000" w:rsidP="00BA2938">
      <w:pPr>
        <w:tabs>
          <w:tab w:val="left" w:pos="0"/>
        </w:tabs>
        <w:spacing w:after="0" w:line="240" w:lineRule="auto"/>
        <w:ind w:left="284"/>
        <w:jc w:val="both"/>
        <w:rPr>
          <w:rFonts w:ascii="Titillium Web" w:hAnsi="Titillium Web"/>
          <w:sz w:val="20"/>
          <w:szCs w:val="20"/>
        </w:rPr>
      </w:pPr>
      <w:r w:rsidRPr="00BA2938">
        <w:rPr>
          <w:rFonts w:ascii="Titillium Web" w:hAnsi="Titillium Web"/>
          <w:sz w:val="20"/>
          <w:szCs w:val="20"/>
        </w:rPr>
        <w:t>There is no guarantee that the underlying ETF’s and or Index funds will achieve a high degree of correlation to the Underlying Index and therefore achieve its investment objective.</w:t>
      </w:r>
    </w:p>
    <w:p w14:paraId="00000486" w14:textId="77777777" w:rsidR="00546EC1" w:rsidRPr="00BA2938" w:rsidRDefault="00000000" w:rsidP="00BA2938">
      <w:pPr>
        <w:numPr>
          <w:ilvl w:val="0"/>
          <w:numId w:val="1"/>
        </w:numPr>
        <w:tabs>
          <w:tab w:val="left" w:pos="0"/>
        </w:tabs>
        <w:spacing w:after="0" w:line="240" w:lineRule="auto"/>
        <w:ind w:left="284"/>
        <w:jc w:val="both"/>
        <w:rPr>
          <w:rFonts w:ascii="Titillium Web" w:hAnsi="Titillium Web"/>
          <w:sz w:val="20"/>
          <w:szCs w:val="20"/>
        </w:rPr>
      </w:pPr>
      <w:r w:rsidRPr="00BA2938">
        <w:rPr>
          <w:rFonts w:ascii="Titillium Web" w:hAnsi="Titillium Web"/>
          <w:sz w:val="20"/>
          <w:szCs w:val="20"/>
        </w:rPr>
        <w:lastRenderedPageBreak/>
        <w:t>Management Risk. As the underlying ETF’s and or Index funds may not fully replicate the Underlying Index, it is subject to the risk that investment strategy may not produce the intended results.</w:t>
      </w:r>
    </w:p>
    <w:p w14:paraId="00000487" w14:textId="77777777" w:rsidR="00546EC1" w:rsidRPr="00BA2938" w:rsidRDefault="00000000" w:rsidP="00BA2938">
      <w:pPr>
        <w:numPr>
          <w:ilvl w:val="0"/>
          <w:numId w:val="1"/>
        </w:numPr>
        <w:tabs>
          <w:tab w:val="left" w:pos="0"/>
        </w:tabs>
        <w:spacing w:after="0" w:line="240" w:lineRule="auto"/>
        <w:ind w:left="284"/>
        <w:jc w:val="both"/>
        <w:rPr>
          <w:rFonts w:ascii="Titillium Web" w:hAnsi="Titillium Web"/>
          <w:sz w:val="20"/>
          <w:szCs w:val="20"/>
        </w:rPr>
      </w:pPr>
      <w:r w:rsidRPr="00BA2938">
        <w:rPr>
          <w:rFonts w:ascii="Titillium Web" w:hAnsi="Titillium Web"/>
          <w:sz w:val="20"/>
          <w:szCs w:val="20"/>
        </w:rPr>
        <w:t>Concentration Risk. The underlying ETF’s and or Index funds may be susceptible to an increased risk of loss, including losses due to adverse occurrences affecting the underlying ETF’s and or index funds more than the market as a whole, to the extent that the investments are concentrated in the securities of a particular issuer or issuers, country, group of countries, region, market, industry, group of industries, sector or asset class.</w:t>
      </w:r>
    </w:p>
    <w:p w14:paraId="00000488" w14:textId="77777777" w:rsidR="00546EC1" w:rsidRPr="00BA2938" w:rsidRDefault="00000000" w:rsidP="00BA2938">
      <w:pPr>
        <w:numPr>
          <w:ilvl w:val="0"/>
          <w:numId w:val="1"/>
        </w:numPr>
        <w:tabs>
          <w:tab w:val="left" w:pos="0"/>
        </w:tabs>
        <w:spacing w:after="0" w:line="240" w:lineRule="auto"/>
        <w:ind w:left="284"/>
        <w:jc w:val="both"/>
        <w:rPr>
          <w:rFonts w:ascii="Titillium Web" w:hAnsi="Titillium Web"/>
          <w:sz w:val="20"/>
          <w:szCs w:val="20"/>
        </w:rPr>
      </w:pPr>
      <w:r w:rsidRPr="00BA2938">
        <w:rPr>
          <w:rFonts w:ascii="Titillium Web" w:hAnsi="Titillium Web"/>
          <w:sz w:val="20"/>
          <w:szCs w:val="20"/>
        </w:rPr>
        <w:t>Currency Risk: As the underlying ETF’s and or Index funds will invest in securities which are denominated in foreign currencies, fluctuations in the exchange rates of these foreign currencies may have an impact on the income and value of the underlying ETF’s and or index funds. Thus, returns to investors are the result of a combination of returns from investments and from movements in exchange rates. Thus, the Indian rupee equivalent of the net assets, distribution and income may be adversely affected by changes in the exchange rates of respective foreign currencies relative to the Indian Rupee. Restrictions on currency trading that may be imposed by developing market countries will have an adverse effect on the value of the securities of companies that trade or operate in such countries. The repatriation of capital to India may also be hampered by changes in the regulations concerning exchange controls or political circumstances as well as the application to it of other restriction on investment.</w:t>
      </w:r>
    </w:p>
    <w:p w14:paraId="00000489" w14:textId="77777777" w:rsidR="00546EC1" w:rsidRPr="00BA2938" w:rsidRDefault="00000000" w:rsidP="00BA2938">
      <w:pPr>
        <w:numPr>
          <w:ilvl w:val="0"/>
          <w:numId w:val="1"/>
        </w:numPr>
        <w:tabs>
          <w:tab w:val="left" w:pos="0"/>
        </w:tabs>
        <w:spacing w:after="0" w:line="240" w:lineRule="auto"/>
        <w:ind w:left="284"/>
        <w:jc w:val="both"/>
        <w:rPr>
          <w:rFonts w:ascii="Titillium Web" w:hAnsi="Titillium Web"/>
          <w:sz w:val="20"/>
          <w:szCs w:val="20"/>
        </w:rPr>
      </w:pPr>
      <w:r w:rsidRPr="00BA2938">
        <w:rPr>
          <w:rFonts w:ascii="Titillium Web" w:hAnsi="Titillium Web"/>
          <w:sz w:val="20"/>
          <w:szCs w:val="20"/>
        </w:rPr>
        <w:t>In certain cases, settlement periods may be extended significantly by unforeseen circumstances. The inability of the underlying ETF’s and or Index funds to make intended securities purchases due to settlement problems could cause the Scheme to miss certain investment opportunities as in certain cases, settlement periods may be extended significantly by unforeseen circumstances. Similarly, the inability to sell securities held in the underlying ETF’s and or Index funds portfolio may result, at times, in potential losses to the Scheme, and there can be a subsequent decline in the value of the securities held in the underlying ETF’s and or Index funds.</w:t>
      </w:r>
    </w:p>
    <w:p w14:paraId="0000048A" w14:textId="77777777" w:rsidR="00546EC1" w:rsidRPr="00BA2938" w:rsidRDefault="00000000" w:rsidP="00BA2938">
      <w:pPr>
        <w:numPr>
          <w:ilvl w:val="0"/>
          <w:numId w:val="1"/>
        </w:numPr>
        <w:tabs>
          <w:tab w:val="left" w:pos="0"/>
        </w:tabs>
        <w:spacing w:after="0" w:line="240" w:lineRule="auto"/>
        <w:ind w:left="284"/>
        <w:jc w:val="both"/>
        <w:rPr>
          <w:rFonts w:ascii="Titillium Web" w:hAnsi="Titillium Web"/>
          <w:sz w:val="20"/>
          <w:szCs w:val="20"/>
        </w:rPr>
      </w:pPr>
      <w:r w:rsidRPr="00BA2938">
        <w:rPr>
          <w:rFonts w:ascii="Titillium Web" w:hAnsi="Titillium Web"/>
          <w:sz w:val="20"/>
          <w:szCs w:val="20"/>
        </w:rPr>
        <w:t xml:space="preserve">Equity Securities Risk. Equity securities are subject to changes in value and their values may be more volatile than those of other asset classes. </w:t>
      </w:r>
    </w:p>
    <w:p w14:paraId="0000048B" w14:textId="77777777" w:rsidR="00546EC1" w:rsidRPr="00BA2938" w:rsidRDefault="00000000" w:rsidP="00BA2938">
      <w:pPr>
        <w:numPr>
          <w:ilvl w:val="0"/>
          <w:numId w:val="1"/>
        </w:numPr>
        <w:tabs>
          <w:tab w:val="left" w:pos="0"/>
        </w:tabs>
        <w:spacing w:after="0" w:line="240" w:lineRule="auto"/>
        <w:ind w:left="284"/>
        <w:jc w:val="both"/>
        <w:rPr>
          <w:rFonts w:ascii="Titillium Web" w:hAnsi="Titillium Web"/>
          <w:sz w:val="20"/>
          <w:szCs w:val="20"/>
        </w:rPr>
      </w:pPr>
      <w:r w:rsidRPr="00BA2938">
        <w:rPr>
          <w:rFonts w:ascii="Titillium Web" w:hAnsi="Titillium Web"/>
          <w:sz w:val="20"/>
          <w:szCs w:val="20"/>
        </w:rPr>
        <w:t>Tracking Error Risk: Tracking error is the divergence of the underlying scheme from that of the Underlying Index. Tracking error may occur because of differences between the securities held in the underlying scheme‘s portfolio and those included in the Underlying Index, pricing differences (including differences between a security‘s price at the local market close and the intrinsic value of a security at the time of calculation of the NAV), transaction costs, the underlying Fund‘s holding of cash, changes to the Underlying Index or the need to meet various new or existing regulatory requirements. This risk may be heightened during times of increased market volatility or other unusual market conditions.</w:t>
      </w:r>
    </w:p>
    <w:p w14:paraId="0000048C" w14:textId="77777777" w:rsidR="00546EC1" w:rsidRPr="00BA2938" w:rsidRDefault="00546EC1" w:rsidP="00BA2938">
      <w:pPr>
        <w:spacing w:after="0" w:line="240" w:lineRule="auto"/>
        <w:jc w:val="both"/>
        <w:rPr>
          <w:rFonts w:ascii="Titillium Web" w:hAnsi="Titillium Web"/>
          <w:sz w:val="20"/>
          <w:szCs w:val="20"/>
        </w:rPr>
      </w:pPr>
    </w:p>
    <w:p w14:paraId="0000048D"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Trading through mutual fund trading platforms of BSE and/ or NSE </w:t>
      </w:r>
    </w:p>
    <w:p w14:paraId="0000048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In respect of transaction in Units of the Scheme through BSE and/ or NSE, allotment and redemption of Units on any Business Day will depend upon the order processing/settlement by BSE and/ or NSE and their respective clearing corporations on which the Mutual Fund has no control.</w:t>
      </w:r>
    </w:p>
    <w:p w14:paraId="0000048F" w14:textId="77777777" w:rsidR="00546EC1" w:rsidRPr="00BA2938" w:rsidRDefault="00546EC1" w:rsidP="00BA2938">
      <w:pPr>
        <w:spacing w:after="0" w:line="240" w:lineRule="auto"/>
        <w:jc w:val="both"/>
        <w:rPr>
          <w:rFonts w:ascii="Titillium Web" w:hAnsi="Titillium Web"/>
          <w:sz w:val="20"/>
          <w:szCs w:val="20"/>
        </w:rPr>
      </w:pPr>
    </w:p>
    <w:p w14:paraId="00000490"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associated with Fixed Income securities:</w:t>
      </w:r>
    </w:p>
    <w:p w14:paraId="0000049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The following are the risks associated with investment in Fixed Income securities:</w:t>
      </w:r>
    </w:p>
    <w:p w14:paraId="00000492" w14:textId="77777777" w:rsidR="00546EC1" w:rsidRPr="00BA2938" w:rsidRDefault="00546EC1" w:rsidP="00BA2938">
      <w:pPr>
        <w:spacing w:after="0" w:line="240" w:lineRule="auto"/>
        <w:jc w:val="both"/>
        <w:rPr>
          <w:rFonts w:ascii="Titillium Web" w:hAnsi="Titillium Web"/>
          <w:sz w:val="20"/>
          <w:szCs w:val="20"/>
        </w:rPr>
      </w:pPr>
    </w:p>
    <w:p w14:paraId="0000049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lastRenderedPageBreak/>
        <w:t>Interest-Rate Risk:</w:t>
      </w:r>
      <w:r w:rsidRPr="00BA2938">
        <w:rPr>
          <w:rFonts w:ascii="Titillium Web" w:hAnsi="Titillium Web"/>
          <w:sz w:val="20"/>
          <w:szCs w:val="20"/>
        </w:rPr>
        <w:t xml:space="preserve"> Fixed income securities such as government bonds, corporate bonds, Money Market Instruments and Derivatives run price-risk or interest-rate risk. Generally, when interest rates rise, prices of existing fixed income securities fall and when interest rates drop, such prices increase. The extent of fall or rise in the prices depends upon the coupon and maturity of the security. It also depends upon the level at which the security is being traded.</w:t>
      </w:r>
    </w:p>
    <w:p w14:paraId="00000494" w14:textId="77777777" w:rsidR="00546EC1" w:rsidRPr="00BA2938" w:rsidRDefault="00546EC1" w:rsidP="00BA2938">
      <w:pPr>
        <w:spacing w:after="0" w:line="240" w:lineRule="auto"/>
        <w:jc w:val="both"/>
        <w:rPr>
          <w:rFonts w:ascii="Titillium Web" w:hAnsi="Titillium Web"/>
          <w:sz w:val="20"/>
          <w:szCs w:val="20"/>
        </w:rPr>
      </w:pPr>
    </w:p>
    <w:p w14:paraId="0000049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Re-investment Risk: </w:t>
      </w:r>
      <w:r w:rsidRPr="00BA2938">
        <w:rPr>
          <w:rFonts w:ascii="Titillium Web" w:hAnsi="Titillium Web"/>
          <w:sz w:val="20"/>
          <w:szCs w:val="20"/>
        </w:rPr>
        <w:t>Investments in fixed income securities carry re-investment risk as interest rates prevailing on the coupon payment or maturity dates may differ from the original coupon of the bond.</w:t>
      </w:r>
    </w:p>
    <w:p w14:paraId="00000496" w14:textId="77777777" w:rsidR="00546EC1" w:rsidRPr="00BA2938" w:rsidRDefault="00546EC1" w:rsidP="00BA2938">
      <w:pPr>
        <w:spacing w:after="0" w:line="240" w:lineRule="auto"/>
        <w:jc w:val="both"/>
        <w:rPr>
          <w:rFonts w:ascii="Titillium Web" w:hAnsi="Titillium Web"/>
          <w:sz w:val="20"/>
          <w:szCs w:val="20"/>
        </w:rPr>
      </w:pPr>
    </w:p>
    <w:p w14:paraId="0000049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Basis Risk</w:t>
      </w:r>
      <w:r w:rsidRPr="00BA2938">
        <w:rPr>
          <w:rFonts w:ascii="Titillium Web" w:hAnsi="Titillium Web"/>
          <w:sz w:val="20"/>
          <w:szCs w:val="20"/>
        </w:rPr>
        <w:t>: The underlying benchmark of a floating rate security or a swap might become less active or may cease to exist and thus may not be able to capture the exact interest rate movements, leading to loss of value of the portfolio.</w:t>
      </w:r>
    </w:p>
    <w:p w14:paraId="00000498" w14:textId="77777777" w:rsidR="00546EC1" w:rsidRPr="00BA2938" w:rsidRDefault="00546EC1" w:rsidP="00BA2938">
      <w:pPr>
        <w:spacing w:after="0" w:line="240" w:lineRule="auto"/>
        <w:jc w:val="both"/>
        <w:rPr>
          <w:rFonts w:ascii="Titillium Web" w:hAnsi="Titillium Web"/>
          <w:sz w:val="20"/>
          <w:szCs w:val="20"/>
        </w:rPr>
      </w:pPr>
    </w:p>
    <w:p w14:paraId="0000049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Spread Risk: </w:t>
      </w:r>
      <w:r w:rsidRPr="00BA2938">
        <w:rPr>
          <w:rFonts w:ascii="Titillium Web" w:hAnsi="Titillium Web"/>
          <w:sz w:val="20"/>
          <w:szCs w:val="20"/>
        </w:rPr>
        <w:t xml:space="preserve">In a floating rate </w:t>
      </w:r>
      <w:proofErr w:type="gramStart"/>
      <w:r w:rsidRPr="00BA2938">
        <w:rPr>
          <w:rFonts w:ascii="Titillium Web" w:hAnsi="Titillium Web"/>
          <w:sz w:val="20"/>
          <w:szCs w:val="20"/>
        </w:rPr>
        <w:t>security</w:t>
      </w:r>
      <w:proofErr w:type="gramEnd"/>
      <w:r w:rsidRPr="00BA2938">
        <w:rPr>
          <w:rFonts w:ascii="Titillium Web" w:hAnsi="Titillium Web"/>
          <w:sz w:val="20"/>
          <w:szCs w:val="20"/>
        </w:rPr>
        <w:t xml:space="preserve"> the coupon is expressed in terms of a spread or mark up over the benchmark rate. In the life of the security this spread may move adversely leading to loss in value of the portfolio. The yield of the underlying benchmark might not change, but the spread of the security over the underlying benchmark might increase leading to loss in value of the security.</w:t>
      </w:r>
    </w:p>
    <w:p w14:paraId="0000049A" w14:textId="77777777" w:rsidR="00546EC1" w:rsidRPr="00BA2938" w:rsidRDefault="00546EC1" w:rsidP="00BA2938">
      <w:pPr>
        <w:spacing w:after="0" w:line="240" w:lineRule="auto"/>
        <w:jc w:val="both"/>
        <w:rPr>
          <w:rFonts w:ascii="Titillium Web" w:hAnsi="Titillium Web"/>
          <w:sz w:val="20"/>
          <w:szCs w:val="20"/>
        </w:rPr>
      </w:pPr>
    </w:p>
    <w:p w14:paraId="0000049B"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w:t>
      </w:r>
      <w:r w:rsidRPr="00BA2938">
        <w:rPr>
          <w:rFonts w:ascii="Titillium Web" w:hAnsi="Titillium Web"/>
          <w:sz w:val="20"/>
          <w:szCs w:val="20"/>
        </w:rPr>
        <w:t xml:space="preserve">The liquidity of a bond may change, depending on market conditions leading to changes in the liquidity premium attached to the price of the bond. At the time of selling the security, the security can become illiquid, leading to loss in value of the portfolio. </w:t>
      </w:r>
    </w:p>
    <w:p w14:paraId="0000049C" w14:textId="77777777" w:rsidR="00546EC1" w:rsidRPr="00BA2938" w:rsidRDefault="00546EC1" w:rsidP="00BA2938">
      <w:pPr>
        <w:spacing w:after="0" w:line="240" w:lineRule="auto"/>
        <w:jc w:val="both"/>
        <w:rPr>
          <w:rFonts w:ascii="Titillium Web" w:hAnsi="Titillium Web"/>
          <w:sz w:val="20"/>
          <w:szCs w:val="20"/>
        </w:rPr>
      </w:pPr>
    </w:p>
    <w:p w14:paraId="0000049D"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Credit Risk: </w:t>
      </w:r>
      <w:r w:rsidRPr="00BA2938">
        <w:rPr>
          <w:rFonts w:ascii="Titillium Web" w:hAnsi="Titillium Web"/>
          <w:sz w:val="20"/>
          <w:szCs w:val="20"/>
        </w:rPr>
        <w:t xml:space="preserve">This is the risk associated with the issuer of a debenture/bond or a Money Market Instrument defaulting on coupon payments or in paying back the principal amount on maturity. Even when there is no default, the price of a security may change with expected changes in the credit rating of the issuer. It is to be noted here that a Government Security is a sovereign security and is the safest. Corporate bonds carry a higher amount of credit risk than Government Securities. Within corporate bonds also there are different levels of </w:t>
      </w:r>
      <w:proofErr w:type="gramStart"/>
      <w:r w:rsidRPr="00BA2938">
        <w:rPr>
          <w:rFonts w:ascii="Titillium Web" w:hAnsi="Titillium Web"/>
          <w:sz w:val="20"/>
          <w:szCs w:val="20"/>
        </w:rPr>
        <w:t>safety</w:t>
      </w:r>
      <w:proofErr w:type="gramEnd"/>
      <w:r w:rsidRPr="00BA2938">
        <w:rPr>
          <w:rFonts w:ascii="Titillium Web" w:hAnsi="Titillium Web"/>
          <w:sz w:val="20"/>
          <w:szCs w:val="20"/>
        </w:rPr>
        <w:t xml:space="preserve"> and a bond rated higher by a particular rating agency is safer than a bond rated lower by the same rating agency.</w:t>
      </w:r>
    </w:p>
    <w:p w14:paraId="0000049E" w14:textId="77777777" w:rsidR="00546EC1" w:rsidRPr="00BA2938" w:rsidRDefault="00546EC1" w:rsidP="00BA2938">
      <w:pPr>
        <w:spacing w:after="0" w:line="240" w:lineRule="auto"/>
        <w:jc w:val="both"/>
        <w:rPr>
          <w:rFonts w:ascii="Titillium Web" w:hAnsi="Titillium Web"/>
          <w:b/>
          <w:sz w:val="20"/>
          <w:szCs w:val="20"/>
        </w:rPr>
      </w:pPr>
    </w:p>
    <w:p w14:paraId="0000049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on account of unlisted securities: </w:t>
      </w:r>
      <w:r w:rsidRPr="00BA2938">
        <w:rPr>
          <w:rFonts w:ascii="Titillium Web" w:hAnsi="Titillium Web"/>
          <w:sz w:val="20"/>
          <w:szCs w:val="20"/>
        </w:rPr>
        <w:t xml:space="preserve">The liquidity and valuation of the Scheme investments due to their holdings of unlisted securities may be affected if they </w:t>
      </w:r>
      <w:proofErr w:type="gramStart"/>
      <w:r w:rsidRPr="00BA2938">
        <w:rPr>
          <w:rFonts w:ascii="Titillium Web" w:hAnsi="Titillium Web"/>
          <w:sz w:val="20"/>
          <w:szCs w:val="20"/>
        </w:rPr>
        <w:t>have to</w:t>
      </w:r>
      <w:proofErr w:type="gramEnd"/>
      <w:r w:rsidRPr="00BA2938">
        <w:rPr>
          <w:rFonts w:ascii="Titillium Web" w:hAnsi="Titillium Web"/>
          <w:sz w:val="20"/>
          <w:szCs w:val="20"/>
        </w:rPr>
        <w:t xml:space="preserve"> be sold prior to their target date of divestment. The unlisted security can go down in value before the divestment date and selling of these securities before the divestment date can lead to losses in the portfolio.</w:t>
      </w:r>
    </w:p>
    <w:p w14:paraId="000004A0" w14:textId="77777777" w:rsidR="00546EC1" w:rsidRPr="00BA2938" w:rsidRDefault="00546EC1" w:rsidP="00BA2938">
      <w:pPr>
        <w:spacing w:after="0" w:line="240" w:lineRule="auto"/>
        <w:jc w:val="both"/>
        <w:rPr>
          <w:rFonts w:ascii="Titillium Web" w:hAnsi="Titillium Web"/>
          <w:sz w:val="20"/>
          <w:szCs w:val="20"/>
        </w:rPr>
      </w:pPr>
    </w:p>
    <w:p w14:paraId="000004A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Settlement Risk: </w:t>
      </w:r>
      <w:r w:rsidRPr="00BA2938">
        <w:rPr>
          <w:rFonts w:ascii="Titillium Web" w:hAnsi="Titillium Web"/>
          <w:sz w:val="20"/>
          <w:szCs w:val="20"/>
        </w:rPr>
        <w:t>Fixed income securities run the risk of settlement which can adversely affect the ability of the fund house to swiftly execute trading strategies which can lead to adverse movements in NAV.</w:t>
      </w:r>
    </w:p>
    <w:p w14:paraId="000004A2" w14:textId="77777777" w:rsidR="00546EC1" w:rsidRPr="00BA2938" w:rsidRDefault="00546EC1" w:rsidP="00BA2938">
      <w:pPr>
        <w:spacing w:after="0" w:line="240" w:lineRule="auto"/>
        <w:jc w:val="both"/>
        <w:rPr>
          <w:rFonts w:ascii="Titillium Web" w:hAnsi="Titillium Web"/>
          <w:sz w:val="20"/>
          <w:szCs w:val="20"/>
        </w:rPr>
      </w:pPr>
    </w:p>
    <w:p w14:paraId="000004A3"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Risks associated with investing in Tri-Party Repos Segments </w:t>
      </w:r>
    </w:p>
    <w:p w14:paraId="000004A4" w14:textId="77777777" w:rsidR="00546EC1" w:rsidRPr="00BA2938" w:rsidRDefault="00546EC1" w:rsidP="00BA2938">
      <w:pPr>
        <w:spacing w:after="0" w:line="240" w:lineRule="auto"/>
        <w:jc w:val="both"/>
        <w:rPr>
          <w:rFonts w:ascii="Titillium Web" w:hAnsi="Titillium Web"/>
          <w:b/>
          <w:sz w:val="20"/>
          <w:szCs w:val="20"/>
        </w:rPr>
      </w:pPr>
    </w:p>
    <w:p w14:paraId="000004A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mutual fund is a member of securities and Tri-Party Repos segments of the Clearing Corporation of India (CCIL). All transactions of the mutual fund in government securities and in Tri-Party Repos segments are settled </w:t>
      </w:r>
      <w:r w:rsidRPr="00BA2938">
        <w:rPr>
          <w:rFonts w:ascii="Titillium Web" w:hAnsi="Titillium Web"/>
          <w:sz w:val="20"/>
          <w:szCs w:val="20"/>
        </w:rPr>
        <w:lastRenderedPageBreak/>
        <w:t xml:space="preserve">centrally through the infrastructure and settlement systems provided by CCIL; </w:t>
      </w:r>
      <w:proofErr w:type="gramStart"/>
      <w:r w:rsidRPr="00BA2938">
        <w:rPr>
          <w:rFonts w:ascii="Titillium Web" w:hAnsi="Titillium Web"/>
          <w:sz w:val="20"/>
          <w:szCs w:val="20"/>
        </w:rPr>
        <w:t>thus</w:t>
      </w:r>
      <w:proofErr w:type="gramEnd"/>
      <w:r w:rsidRPr="00BA2938">
        <w:rPr>
          <w:rFonts w:ascii="Titillium Web" w:hAnsi="Titillium Web"/>
          <w:sz w:val="20"/>
          <w:szCs w:val="20"/>
        </w:rPr>
        <w:t xml:space="preserve"> reducing the settlement and counterparty risks considerably for transactions in the said segments. The members are required to contribute an amount as communicated by CCIL from time to time to the default fund maintained by CCIL as a part of the default waterfall (a loss mitigating measure of CCIL in case of default by any member in settling transactions routed through CCIL). The mutual fund is exposed to the extent of its contribution to the default fund of CCIL at any given point in time. In the event that the default waterfall is </w:t>
      </w:r>
      <w:proofErr w:type="gramStart"/>
      <w:r w:rsidRPr="00BA2938">
        <w:rPr>
          <w:rFonts w:ascii="Titillium Web" w:hAnsi="Titillium Web"/>
          <w:sz w:val="20"/>
          <w:szCs w:val="20"/>
        </w:rPr>
        <w:t>triggered</w:t>
      </w:r>
      <w:proofErr w:type="gramEnd"/>
      <w:r w:rsidRPr="00BA2938">
        <w:rPr>
          <w:rFonts w:ascii="Titillium Web" w:hAnsi="Titillium Web"/>
          <w:sz w:val="20"/>
          <w:szCs w:val="20"/>
        </w:rPr>
        <w:t xml:space="preserve"> and the contribution of the mutual fund is called upon to absorb settlement/default losses of another member by CCIL, the scheme may lose an amount equivalent to its contribution to the default fund allocated to the scheme on a pro-rata basis.</w:t>
      </w:r>
    </w:p>
    <w:p w14:paraId="000004A6" w14:textId="77777777" w:rsidR="00546EC1" w:rsidRPr="00BA2938" w:rsidRDefault="00546EC1" w:rsidP="00BA2938">
      <w:pPr>
        <w:spacing w:after="0" w:line="240" w:lineRule="auto"/>
        <w:jc w:val="both"/>
        <w:rPr>
          <w:rFonts w:ascii="Titillium Web" w:hAnsi="Titillium Web"/>
          <w:sz w:val="20"/>
          <w:szCs w:val="20"/>
        </w:rPr>
      </w:pPr>
    </w:p>
    <w:p w14:paraId="000004A7"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 Factors Associated with investing in Foreign Securities:</w:t>
      </w:r>
    </w:p>
    <w:p w14:paraId="000004A8" w14:textId="77777777" w:rsidR="00546EC1" w:rsidRPr="00BA2938" w:rsidRDefault="00546EC1" w:rsidP="00BA2938">
      <w:pPr>
        <w:spacing w:after="0" w:line="240" w:lineRule="auto"/>
        <w:jc w:val="both"/>
        <w:rPr>
          <w:rFonts w:ascii="Titillium Web" w:hAnsi="Titillium Web"/>
          <w:b/>
          <w:sz w:val="20"/>
          <w:szCs w:val="20"/>
        </w:rPr>
      </w:pPr>
    </w:p>
    <w:p w14:paraId="000004A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Subject to necessary approvals and within the investment objectives of the Scheme, the Scheme may invest in overseas markets which carry risks related to fluctuations in the foreign exchange rates, the nature of the securities market of the country, repatriation of capital due to exchange controls and</w:t>
      </w:r>
    </w:p>
    <w:p w14:paraId="000004AA"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political circumstances.</w:t>
      </w:r>
    </w:p>
    <w:p w14:paraId="000004AB" w14:textId="77777777" w:rsidR="00546EC1" w:rsidRPr="00BA2938" w:rsidRDefault="00546EC1" w:rsidP="00BA2938">
      <w:pPr>
        <w:spacing w:after="0" w:line="240" w:lineRule="auto"/>
        <w:jc w:val="both"/>
        <w:rPr>
          <w:rFonts w:ascii="Titillium Web" w:hAnsi="Titillium Web"/>
          <w:sz w:val="20"/>
          <w:szCs w:val="20"/>
        </w:rPr>
      </w:pPr>
    </w:p>
    <w:p w14:paraId="000004AC"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To manage risks associated with foreign currency and interest rate exposure, the Fund may use derivatives for efficient portfolio management including hedging and in accordance with conditions as may be stipulated under the Regulations or by the RBI from time to time.</w:t>
      </w:r>
    </w:p>
    <w:p w14:paraId="000004AD" w14:textId="77777777" w:rsidR="00546EC1" w:rsidRPr="00BA2938" w:rsidRDefault="00546EC1" w:rsidP="00BA2938">
      <w:pPr>
        <w:spacing w:after="0" w:line="240" w:lineRule="auto"/>
        <w:jc w:val="both"/>
        <w:rPr>
          <w:rFonts w:ascii="Titillium Web" w:hAnsi="Titillium Web"/>
          <w:sz w:val="20"/>
          <w:szCs w:val="20"/>
        </w:rPr>
      </w:pPr>
    </w:p>
    <w:p w14:paraId="000004A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Overseas investments will be made subject to any/all approvals, conditions thereof as may be stipulated under the Regulations or by RBI and provided such investments do not result in expenses to the Fund </w:t>
      </w:r>
      <w:proofErr w:type="gramStart"/>
      <w:r w:rsidRPr="00BA2938">
        <w:rPr>
          <w:rFonts w:ascii="Titillium Web" w:hAnsi="Titillium Web"/>
          <w:sz w:val="20"/>
          <w:szCs w:val="20"/>
        </w:rPr>
        <w:t>in excess of</w:t>
      </w:r>
      <w:proofErr w:type="gramEnd"/>
      <w:r w:rsidRPr="00BA2938">
        <w:rPr>
          <w:rFonts w:ascii="Titillium Web" w:hAnsi="Titillium Web"/>
          <w:sz w:val="20"/>
          <w:szCs w:val="20"/>
        </w:rPr>
        <w:t xml:space="preserve"> the ceiling on expenses prescribed by and consistent with costs and expenses attendant to</w:t>
      </w:r>
    </w:p>
    <w:p w14:paraId="000004AF"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international investing.</w:t>
      </w:r>
    </w:p>
    <w:p w14:paraId="000004B0" w14:textId="77777777" w:rsidR="00546EC1" w:rsidRPr="00BA2938" w:rsidRDefault="00546EC1" w:rsidP="00BA2938">
      <w:pPr>
        <w:spacing w:after="0" w:line="240" w:lineRule="auto"/>
        <w:jc w:val="both"/>
        <w:rPr>
          <w:rFonts w:ascii="Titillium Web" w:hAnsi="Titillium Web"/>
          <w:sz w:val="20"/>
          <w:szCs w:val="20"/>
        </w:rPr>
      </w:pPr>
    </w:p>
    <w:p w14:paraId="000004B1"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The Fund may, where necessary, appoint other intermediaries of repute as advisors, custodian/sub-custodians etc. for managing and administering such investments. The appointment of such intermediaries shall be in accordance with the applicable requirements of SEBI and within the permissible ceilings of expenses. The fees and expenses would illustratively include, besides the investment management fees, custody fees and costs, fees of appointed advisors and sub-managers, transaction costs and overseas regulatory costs. </w:t>
      </w:r>
    </w:p>
    <w:p w14:paraId="000004B2" w14:textId="77777777" w:rsidR="00546EC1" w:rsidRPr="00BA2938" w:rsidRDefault="00546EC1" w:rsidP="00BA2938">
      <w:pPr>
        <w:spacing w:after="0" w:line="240" w:lineRule="auto"/>
        <w:jc w:val="both"/>
        <w:rPr>
          <w:rFonts w:ascii="Titillium Web" w:hAnsi="Titillium Web"/>
          <w:sz w:val="20"/>
          <w:szCs w:val="20"/>
        </w:rPr>
      </w:pPr>
    </w:p>
    <w:p w14:paraId="000004B3"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To the extent that the assets of the Scheme will be invested in securities denominated in foreign currencies, the Indian Rupee equivalent of the net assets, distributions and income may be </w:t>
      </w:r>
      <w:proofErr w:type="gramStart"/>
      <w:r w:rsidRPr="00BA2938">
        <w:rPr>
          <w:rFonts w:ascii="Titillium Web" w:hAnsi="Titillium Web"/>
          <w:sz w:val="20"/>
          <w:szCs w:val="20"/>
        </w:rPr>
        <w:t>adversely  affected</w:t>
      </w:r>
      <w:proofErr w:type="gramEnd"/>
      <w:r w:rsidRPr="00BA2938">
        <w:rPr>
          <w:rFonts w:ascii="Titillium Web" w:hAnsi="Titillium Web"/>
          <w:sz w:val="20"/>
          <w:szCs w:val="20"/>
        </w:rPr>
        <w:t xml:space="preserve"> by changes in the value of certain foreign currencies relative to the Indian Rupee. The repatriation of capital to India may also be hampered by changes in regulations concerning exchange controls or political circumstances as well as the application to it of other restrictions on investment.</w:t>
      </w:r>
    </w:p>
    <w:p w14:paraId="000004B4" w14:textId="77777777" w:rsidR="00546EC1" w:rsidRPr="00BA2938" w:rsidRDefault="00546EC1" w:rsidP="00BA2938">
      <w:pPr>
        <w:spacing w:after="0" w:line="240" w:lineRule="auto"/>
        <w:jc w:val="both"/>
        <w:rPr>
          <w:rFonts w:ascii="Titillium Web" w:hAnsi="Titillium Web"/>
          <w:b/>
          <w:sz w:val="20"/>
          <w:szCs w:val="20"/>
        </w:rPr>
      </w:pPr>
    </w:p>
    <w:p w14:paraId="000004B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Legal and Regulatory Risk </w:t>
      </w:r>
      <w:r w:rsidRPr="00BA2938">
        <w:rPr>
          <w:rFonts w:ascii="Titillium Web" w:hAnsi="Titillium Web"/>
          <w:sz w:val="20"/>
          <w:szCs w:val="20"/>
        </w:rPr>
        <w:t xml:space="preserve">- Legal and regulatory changes could occur during the term of the Scheme which may adversely affect it. If any of the laws and regulations currently in effect should change or any new laws or regulations should be enacted, the legal requirements to which the Scheme and the investors may be subject </w:t>
      </w:r>
      <w:r w:rsidRPr="00BA2938">
        <w:rPr>
          <w:rFonts w:ascii="Titillium Web" w:hAnsi="Titillium Web"/>
          <w:sz w:val="20"/>
          <w:szCs w:val="20"/>
        </w:rPr>
        <w:lastRenderedPageBreak/>
        <w:t>could differ materially from current requirements and may materially and adversely affect the Scheme and the investors. Legislation/ Regulatory guidelines could also be imposed retrospectively.</w:t>
      </w:r>
    </w:p>
    <w:p w14:paraId="000004B6" w14:textId="77777777" w:rsidR="00546EC1" w:rsidRPr="00BA2938" w:rsidRDefault="00546EC1" w:rsidP="00BA2938">
      <w:pPr>
        <w:spacing w:after="0" w:line="240" w:lineRule="auto"/>
        <w:jc w:val="both"/>
        <w:rPr>
          <w:rFonts w:ascii="Titillium Web" w:hAnsi="Titillium Web"/>
          <w:b/>
          <w:sz w:val="20"/>
          <w:szCs w:val="20"/>
        </w:rPr>
      </w:pPr>
    </w:p>
    <w:p w14:paraId="000004B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Taxation Risk </w:t>
      </w:r>
      <w:r w:rsidRPr="00BA2938">
        <w:rPr>
          <w:rFonts w:ascii="Titillium Web" w:hAnsi="Titillium Web"/>
          <w:sz w:val="20"/>
          <w:szCs w:val="20"/>
        </w:rPr>
        <w:t>- Investment in Offshore Funds poses additional challenges based on the tax laws of each respective country or jurisdiction. The scheme may be subject to a higher level of taxes than originally anticipated and or dual taxation. The Scheme may be subject to withholding or other taxes on income and/or gains arising from its investment portfolio. Further, such investments are exposed to risks associated with the changing / evolving tax / regulatory regimes of all the countries where the Scheme invests. All these may entail a higher outgo to the Scheme by way of taxes, transaction costs, fees etc.</w:t>
      </w:r>
    </w:p>
    <w:p w14:paraId="000004B8" w14:textId="77777777" w:rsidR="00546EC1" w:rsidRPr="00BA2938" w:rsidRDefault="00000000" w:rsidP="00BA2938">
      <w:pPr>
        <w:spacing w:after="0" w:line="240" w:lineRule="auto"/>
        <w:jc w:val="both"/>
        <w:rPr>
          <w:rFonts w:ascii="Titillium Web" w:hAnsi="Titillium Web"/>
          <w:sz w:val="20"/>
          <w:szCs w:val="20"/>
        </w:rPr>
      </w:pPr>
      <w:proofErr w:type="gramStart"/>
      <w:r w:rsidRPr="00BA2938">
        <w:rPr>
          <w:rFonts w:ascii="Titillium Web" w:hAnsi="Titillium Web"/>
          <w:sz w:val="20"/>
          <w:szCs w:val="20"/>
        </w:rPr>
        <w:t>thus</w:t>
      </w:r>
      <w:proofErr w:type="gramEnd"/>
      <w:r w:rsidRPr="00BA2938">
        <w:rPr>
          <w:rFonts w:ascii="Titillium Web" w:hAnsi="Titillium Web"/>
          <w:sz w:val="20"/>
          <w:szCs w:val="20"/>
        </w:rPr>
        <w:t xml:space="preserve"> adversely impacting its NAV; resulting in lower returns to an Investor.</w:t>
      </w:r>
    </w:p>
    <w:p w14:paraId="000004B9" w14:textId="77777777" w:rsidR="00546EC1" w:rsidRPr="00BA2938" w:rsidRDefault="00546EC1" w:rsidP="00BA2938">
      <w:pPr>
        <w:spacing w:after="0" w:line="240" w:lineRule="auto"/>
        <w:jc w:val="both"/>
        <w:rPr>
          <w:rFonts w:ascii="Titillium Web" w:hAnsi="Titillium Web"/>
          <w:b/>
          <w:sz w:val="20"/>
          <w:szCs w:val="20"/>
        </w:rPr>
      </w:pPr>
    </w:p>
    <w:p w14:paraId="000004BA"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 xml:space="preserve">Risk Factors relating to Portfolio Rebalancing </w:t>
      </w:r>
    </w:p>
    <w:p w14:paraId="000004BB" w14:textId="77777777" w:rsidR="00546EC1" w:rsidRPr="00BA2938" w:rsidRDefault="00000000" w:rsidP="00BA2938">
      <w:pPr>
        <w:spacing w:after="0" w:line="240" w:lineRule="auto"/>
        <w:jc w:val="both"/>
        <w:rPr>
          <w:rFonts w:ascii="Titillium Web" w:hAnsi="Titillium Web"/>
          <w:sz w:val="20"/>
          <w:szCs w:val="20"/>
        </w:rPr>
      </w:pPr>
      <w:proofErr w:type="gramStart"/>
      <w:r w:rsidRPr="00BA2938">
        <w:rPr>
          <w:rFonts w:ascii="Titillium Web" w:hAnsi="Titillium Web"/>
          <w:sz w:val="20"/>
          <w:szCs w:val="20"/>
        </w:rPr>
        <w:t>In the event that</w:t>
      </w:r>
      <w:proofErr w:type="gramEnd"/>
      <w:r w:rsidRPr="00BA2938">
        <w:rPr>
          <w:rFonts w:ascii="Titillium Web" w:hAnsi="Titillium Web"/>
          <w:sz w:val="20"/>
          <w:szCs w:val="20"/>
        </w:rPr>
        <w:t xml:space="preserve"> the asset allocation of the Scheme deviates from the ranges as provided in the asset allocation table in this SID, then the Fund Manager will rebalance the portfolio of the Scheme to the position indicated in the asset allocation table. However, if market conditions do not permit the Fund Manager to rebalance the portfolio of the Scheme beyond 30 </w:t>
      </w:r>
      <w:proofErr w:type="gramStart"/>
      <w:r w:rsidRPr="00BA2938">
        <w:rPr>
          <w:rFonts w:ascii="Titillium Web" w:hAnsi="Titillium Web"/>
          <w:sz w:val="20"/>
          <w:szCs w:val="20"/>
        </w:rPr>
        <w:t>days</w:t>
      </w:r>
      <w:proofErr w:type="gramEnd"/>
      <w:r w:rsidRPr="00BA2938">
        <w:rPr>
          <w:rFonts w:ascii="Titillium Web" w:hAnsi="Titillium Web"/>
          <w:sz w:val="20"/>
          <w:szCs w:val="20"/>
        </w:rPr>
        <w:t xml:space="preserve"> then the AMC would notify the Board of the Trustee Company and the Investment Committee of the AMC with appropriate justifications.</w:t>
      </w:r>
    </w:p>
    <w:p w14:paraId="000004BC" w14:textId="77777777" w:rsidR="00546EC1" w:rsidRPr="00BA2938" w:rsidRDefault="00546EC1" w:rsidP="00BA2938">
      <w:pPr>
        <w:spacing w:after="0" w:line="240" w:lineRule="auto"/>
        <w:jc w:val="both"/>
        <w:rPr>
          <w:rFonts w:ascii="Titillium Web" w:hAnsi="Titillium Web"/>
          <w:sz w:val="20"/>
          <w:szCs w:val="20"/>
        </w:rPr>
      </w:pPr>
    </w:p>
    <w:p w14:paraId="000004BD"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 factor associated with segregated portfolio</w:t>
      </w:r>
    </w:p>
    <w:p w14:paraId="000004BE"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Investor holding units of segregated portfolio may </w:t>
      </w:r>
      <w:proofErr w:type="gramStart"/>
      <w:r w:rsidRPr="00BA2938">
        <w:rPr>
          <w:rFonts w:ascii="Titillium Web" w:hAnsi="Titillium Web"/>
          <w:sz w:val="20"/>
          <w:szCs w:val="20"/>
        </w:rPr>
        <w:t>not</w:t>
      </w:r>
      <w:proofErr w:type="gramEnd"/>
      <w:r w:rsidRPr="00BA2938">
        <w:rPr>
          <w:rFonts w:ascii="Titillium Web" w:hAnsi="Titillium Web"/>
          <w:sz w:val="20"/>
          <w:szCs w:val="20"/>
        </w:rPr>
        <w:t xml:space="preserve"> able to liquidate their holding till the time realisable value is recovered. </w:t>
      </w:r>
    </w:p>
    <w:p w14:paraId="000004BF" w14:textId="77777777" w:rsidR="00546EC1" w:rsidRPr="00BA2938" w:rsidRDefault="00546EC1" w:rsidP="00BA2938">
      <w:pPr>
        <w:spacing w:after="0" w:line="240" w:lineRule="auto"/>
        <w:jc w:val="both"/>
        <w:rPr>
          <w:rFonts w:ascii="Titillium Web" w:hAnsi="Titillium Web"/>
          <w:sz w:val="20"/>
          <w:szCs w:val="20"/>
        </w:rPr>
      </w:pPr>
    </w:p>
    <w:p w14:paraId="000004C0"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Security comprising of segregated portfolio may realise lower value or may realise zero value. </w:t>
      </w:r>
    </w:p>
    <w:p w14:paraId="000004C1" w14:textId="77777777" w:rsidR="00546EC1" w:rsidRPr="00BA2938" w:rsidRDefault="00546EC1" w:rsidP="00BA2938">
      <w:pPr>
        <w:spacing w:after="0" w:line="240" w:lineRule="auto"/>
        <w:jc w:val="both"/>
        <w:rPr>
          <w:rFonts w:ascii="Titillium Web" w:hAnsi="Titillium Web"/>
          <w:sz w:val="20"/>
          <w:szCs w:val="20"/>
        </w:rPr>
      </w:pPr>
    </w:p>
    <w:p w14:paraId="000004C2"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Listing of units of segregated portfolio in </w:t>
      </w:r>
      <w:proofErr w:type="spellStart"/>
      <w:r w:rsidRPr="00BA2938">
        <w:rPr>
          <w:rFonts w:ascii="Titillium Web" w:hAnsi="Titillium Web"/>
          <w:sz w:val="20"/>
          <w:szCs w:val="20"/>
        </w:rPr>
        <w:t>recognised</w:t>
      </w:r>
      <w:proofErr w:type="spellEnd"/>
      <w:r w:rsidRPr="00BA2938">
        <w:rPr>
          <w:rFonts w:ascii="Titillium Web" w:hAnsi="Titillium Web"/>
          <w:sz w:val="20"/>
          <w:szCs w:val="20"/>
        </w:rPr>
        <w:t xml:space="preserve"> stock exchange does not necessarily guarantee their liquidity. There may not be active trading of units in the stock market. Further trading price of units on the stock market may be significantly lower than the prevailing NAV.   </w:t>
      </w:r>
    </w:p>
    <w:p w14:paraId="000004C3" w14:textId="77777777" w:rsidR="00546EC1" w:rsidRPr="00BA2938" w:rsidRDefault="00546EC1" w:rsidP="00BA2938">
      <w:pPr>
        <w:spacing w:after="0" w:line="240" w:lineRule="auto"/>
        <w:jc w:val="both"/>
        <w:rPr>
          <w:rFonts w:ascii="Titillium Web" w:hAnsi="Titillium Web"/>
          <w:sz w:val="20"/>
          <w:szCs w:val="20"/>
        </w:rPr>
      </w:pPr>
    </w:p>
    <w:p w14:paraId="000004C4" w14:textId="77777777" w:rsidR="00546EC1" w:rsidRPr="00BA2938" w:rsidRDefault="00000000" w:rsidP="00BA2938">
      <w:pPr>
        <w:spacing w:after="0" w:line="240" w:lineRule="auto"/>
        <w:jc w:val="both"/>
        <w:rPr>
          <w:rFonts w:ascii="Titillium Web" w:hAnsi="Titillium Web"/>
          <w:b/>
          <w:sz w:val="20"/>
          <w:szCs w:val="20"/>
        </w:rPr>
      </w:pPr>
      <w:r w:rsidRPr="00BA2938">
        <w:rPr>
          <w:rFonts w:ascii="Titillium Web" w:hAnsi="Titillium Web"/>
          <w:b/>
          <w:sz w:val="20"/>
          <w:szCs w:val="20"/>
        </w:rPr>
        <w:t>Risks factors associated with investments in Repo Transactions in Corporate Bond:</w:t>
      </w:r>
    </w:p>
    <w:p w14:paraId="000004C5"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In repo transactions, securities are sold with the seller agreeing to buy them back at later date. The repurchase price should be greater than the original sale price, the difference effectively representing interest. A repo is economically </w:t>
      </w:r>
      <w:proofErr w:type="gramStart"/>
      <w:r w:rsidRPr="00BA2938">
        <w:rPr>
          <w:rFonts w:ascii="Titillium Web" w:hAnsi="Titillium Web"/>
          <w:sz w:val="20"/>
          <w:szCs w:val="20"/>
        </w:rPr>
        <w:t>similar to</w:t>
      </w:r>
      <w:proofErr w:type="gramEnd"/>
      <w:r w:rsidRPr="00BA2938">
        <w:rPr>
          <w:rFonts w:ascii="Titillium Web" w:hAnsi="Titillium Web"/>
          <w:sz w:val="20"/>
          <w:szCs w:val="20"/>
        </w:rPr>
        <w:t xml:space="preserve"> a secured loan, with the buyer receiving corporate debt securities as collateral to protect against default. The Scheme may invest in repo of corporate debt securities which are subject to the following risks:</w:t>
      </w:r>
    </w:p>
    <w:p w14:paraId="000004C6" w14:textId="77777777" w:rsidR="00546EC1" w:rsidRPr="00BA2938" w:rsidRDefault="00546EC1" w:rsidP="00BA2938">
      <w:pPr>
        <w:spacing w:after="0" w:line="240" w:lineRule="auto"/>
        <w:jc w:val="both"/>
        <w:rPr>
          <w:rFonts w:ascii="Titillium Web" w:hAnsi="Titillium Web"/>
          <w:sz w:val="20"/>
          <w:szCs w:val="20"/>
        </w:rPr>
      </w:pPr>
    </w:p>
    <w:p w14:paraId="000004C7"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Counter party Risk: </w:t>
      </w:r>
      <w:r w:rsidRPr="00BA2938">
        <w:rPr>
          <w:rFonts w:ascii="Titillium Web" w:hAnsi="Titillium Web"/>
          <w:sz w:val="20"/>
          <w:szCs w:val="20"/>
        </w:rPr>
        <w:t xml:space="preserve">This refers to the inability of the seller to meet the obligation to buy back securities at the contracted price on the contracted date. The Investment Manager will endeavour to manage counterparty risk by dealing only with counterparties, having strong credit profiles, approved by our credit risk analysis team. The exposure to each counterparty will be within the overall approved credit limits. Also, the counterparty risk is to an extent mitigated by taking collateral equivalent in value to the transaction after knocking off a minimum </w:t>
      </w:r>
      <w:r w:rsidRPr="00BA2938">
        <w:rPr>
          <w:rFonts w:ascii="Titillium Web" w:hAnsi="Titillium Web"/>
          <w:sz w:val="20"/>
          <w:szCs w:val="20"/>
        </w:rPr>
        <w:lastRenderedPageBreak/>
        <w:t xml:space="preserve">haircut on the intrinsic value of the collateral. In the event of default by the repo counterparty, the scheme shall have recourse to the corporate debt securities. </w:t>
      </w:r>
    </w:p>
    <w:p w14:paraId="000004C8" w14:textId="77777777" w:rsidR="00546EC1" w:rsidRPr="00BA2938" w:rsidRDefault="00546EC1" w:rsidP="00BA2938">
      <w:pPr>
        <w:spacing w:after="0" w:line="240" w:lineRule="auto"/>
        <w:jc w:val="both"/>
        <w:rPr>
          <w:rFonts w:ascii="Titillium Web" w:hAnsi="Titillium Web"/>
          <w:sz w:val="20"/>
          <w:szCs w:val="20"/>
        </w:rPr>
      </w:pPr>
    </w:p>
    <w:p w14:paraId="000004C9" w14:textId="77777777" w:rsidR="00546EC1" w:rsidRPr="00BA2938" w:rsidRDefault="00000000" w:rsidP="00BA2938">
      <w:pPr>
        <w:spacing w:after="0" w:line="240" w:lineRule="auto"/>
        <w:jc w:val="both"/>
        <w:rPr>
          <w:rFonts w:ascii="Titillium Web" w:hAnsi="Titillium Web"/>
          <w:sz w:val="20"/>
          <w:szCs w:val="20"/>
        </w:rPr>
      </w:pPr>
      <w:r w:rsidRPr="00BA2938">
        <w:rPr>
          <w:rFonts w:ascii="Titillium Web" w:hAnsi="Titillium Web"/>
          <w:b/>
          <w:sz w:val="20"/>
          <w:szCs w:val="20"/>
        </w:rPr>
        <w:t xml:space="preserve">Collateral Risk: </w:t>
      </w:r>
      <w:r w:rsidRPr="00BA2938">
        <w:rPr>
          <w:rFonts w:ascii="Titillium Web" w:hAnsi="Titillium Web"/>
          <w:sz w:val="20"/>
          <w:szCs w:val="20"/>
        </w:rPr>
        <w:t xml:space="preserve">Collateral risk arises when the market value of the securities is inadequate to meet the repo obligations. This risk is mitigated by restricting participation in repo transactions only in AA or equivalent and above rated money market and corporate debt securities. Any rating downgrade </w:t>
      </w:r>
      <w:proofErr w:type="gramStart"/>
      <w:r w:rsidRPr="00BA2938">
        <w:rPr>
          <w:rFonts w:ascii="Titillium Web" w:hAnsi="Titillium Web"/>
          <w:sz w:val="20"/>
          <w:szCs w:val="20"/>
        </w:rPr>
        <w:t>will</w:t>
      </w:r>
      <w:proofErr w:type="gramEnd"/>
      <w:r w:rsidRPr="00BA2938">
        <w:rPr>
          <w:rFonts w:ascii="Titillium Web" w:hAnsi="Titillium Web"/>
          <w:sz w:val="20"/>
          <w:szCs w:val="20"/>
        </w:rPr>
        <w:t xml:space="preserve"> tantamount to either an early termination of the repo agreement or a call for fresh margin to meet the minimum haircut requirement. In addition, the Investment manager may apply a higher haircut on the underlying security than mentioned above to adjust for the illiquidity and interest rate risk on the underlying instrument. The adequacy of the collateral will be monitored </w:t>
      </w:r>
      <w:proofErr w:type="gramStart"/>
      <w:r w:rsidRPr="00BA2938">
        <w:rPr>
          <w:rFonts w:ascii="Titillium Web" w:hAnsi="Titillium Web"/>
          <w:sz w:val="20"/>
          <w:szCs w:val="20"/>
        </w:rPr>
        <w:t>on a daily basis</w:t>
      </w:r>
      <w:proofErr w:type="gramEnd"/>
      <w:r w:rsidRPr="00BA2938">
        <w:rPr>
          <w:rFonts w:ascii="Titillium Web" w:hAnsi="Titillium Web"/>
          <w:sz w:val="20"/>
          <w:szCs w:val="20"/>
        </w:rPr>
        <w:t xml:space="preserve"> by considering the daily market value &amp; applying the prescribed haircut. The fund manager shall then arrange for additional collateral from the counterparty, within a period of 1 business day. If the counterparty is not able to top-up either in form of cash / collateral, it shall amount to early termination of the repo agreement.</w:t>
      </w:r>
    </w:p>
    <w:p w14:paraId="000004CA" w14:textId="77777777" w:rsidR="00546EC1" w:rsidRPr="00BA2938" w:rsidRDefault="00546EC1" w:rsidP="00BA2938">
      <w:pPr>
        <w:spacing w:after="0" w:line="240" w:lineRule="auto"/>
        <w:jc w:val="both"/>
        <w:rPr>
          <w:rFonts w:ascii="Titillium Web" w:hAnsi="Titillium Web"/>
          <w:sz w:val="20"/>
          <w:szCs w:val="20"/>
        </w:rPr>
      </w:pPr>
    </w:p>
    <w:p w14:paraId="000004CB" w14:textId="77777777" w:rsidR="00546EC1" w:rsidRPr="00BA2938" w:rsidRDefault="00000000" w:rsidP="00BA2938">
      <w:pPr>
        <w:pStyle w:val="Heading2"/>
        <w:spacing w:before="0" w:line="240" w:lineRule="auto"/>
        <w:jc w:val="both"/>
        <w:rPr>
          <w:rFonts w:ascii="Titillium Web" w:eastAsia="Calibri" w:hAnsi="Titillium Web" w:cs="Calibri"/>
          <w:b/>
          <w:color w:val="000000"/>
          <w:sz w:val="20"/>
          <w:szCs w:val="20"/>
        </w:rPr>
      </w:pPr>
      <w:bookmarkStart w:id="35" w:name="_heading=h.lasy3lshf2qc" w:colFirst="0" w:colLast="0"/>
      <w:bookmarkEnd w:id="35"/>
      <w:r w:rsidRPr="00BA2938">
        <w:rPr>
          <w:rFonts w:ascii="Titillium Web" w:eastAsia="Calibri" w:hAnsi="Titillium Web" w:cs="Calibri"/>
          <w:b/>
          <w:color w:val="000000"/>
          <w:sz w:val="20"/>
          <w:szCs w:val="20"/>
        </w:rPr>
        <w:t>Risk Mitigation Strategies</w:t>
      </w:r>
    </w:p>
    <w:p w14:paraId="000004CC" w14:textId="182CF09F" w:rsidR="00BA2938" w:rsidRDefault="00000000" w:rsidP="00BA2938">
      <w:pPr>
        <w:spacing w:after="0" w:line="240" w:lineRule="auto"/>
        <w:jc w:val="both"/>
        <w:rPr>
          <w:rFonts w:ascii="Titillium Web" w:hAnsi="Titillium Web"/>
          <w:sz w:val="20"/>
          <w:szCs w:val="20"/>
        </w:rPr>
      </w:pPr>
      <w:r w:rsidRPr="00BA2938">
        <w:rPr>
          <w:rFonts w:ascii="Titillium Web" w:hAnsi="Titillium Web"/>
          <w:sz w:val="20"/>
          <w:szCs w:val="20"/>
        </w:rPr>
        <w:t xml:space="preserve">Risk is an inherent part of the investment function. Effective Risk management is critical to fund management for achieving financial soundness. Investment by the Scheme would be made as per the investment objective of the Scheme and in accordance with SEBI Regulations. AMC has adequate safeguards to manage risk in the portfolio construction process. Risk control would involve managing risk </w:t>
      </w:r>
      <w:proofErr w:type="gramStart"/>
      <w:r w:rsidRPr="00BA2938">
        <w:rPr>
          <w:rFonts w:ascii="Titillium Web" w:hAnsi="Titillium Web"/>
          <w:sz w:val="20"/>
          <w:szCs w:val="20"/>
        </w:rPr>
        <w:t>in order to</w:t>
      </w:r>
      <w:proofErr w:type="gramEnd"/>
      <w:r w:rsidRPr="00BA2938">
        <w:rPr>
          <w:rFonts w:ascii="Titillium Web" w:hAnsi="Titillium Web"/>
          <w:sz w:val="20"/>
          <w:szCs w:val="20"/>
        </w:rPr>
        <w:t xml:space="preserve"> keep in line with the investment objective of the Scheme. The risk control process would include identifying the risk and taking proper measures for the same. The system has incorporated all the investment restrictions as per the SEBI guidelines and enables identifying and measuring the risk through various risk management tools like various portfolio analytics, risk ratios, average duration and analyses the same and acts in a preventive manner.</w:t>
      </w:r>
    </w:p>
    <w:p w14:paraId="0F17C720" w14:textId="77777777" w:rsidR="00BA2938" w:rsidRDefault="00BA2938">
      <w:pPr>
        <w:rPr>
          <w:rFonts w:ascii="Titillium Web" w:hAnsi="Titillium Web"/>
          <w:sz w:val="20"/>
          <w:szCs w:val="20"/>
        </w:rPr>
      </w:pPr>
      <w:r>
        <w:rPr>
          <w:rFonts w:ascii="Titillium Web" w:hAnsi="Titillium Web"/>
          <w:sz w:val="20"/>
          <w:szCs w:val="20"/>
        </w:rPr>
        <w:br w:type="page"/>
      </w:r>
    </w:p>
    <w:p w14:paraId="14DDB31C" w14:textId="77777777" w:rsidR="00546EC1" w:rsidRPr="00BA2938" w:rsidRDefault="00546EC1" w:rsidP="00BA2938">
      <w:pPr>
        <w:spacing w:after="0" w:line="240" w:lineRule="auto"/>
        <w:jc w:val="both"/>
        <w:rPr>
          <w:rFonts w:ascii="Titillium Web" w:hAnsi="Titillium Web"/>
          <w:sz w:val="20"/>
          <w:szCs w:val="20"/>
        </w:rPr>
      </w:pPr>
    </w:p>
    <w:p w14:paraId="000004CD" w14:textId="77777777" w:rsidR="00546EC1" w:rsidRPr="00BA2938" w:rsidRDefault="00000000" w:rsidP="00FA14F4">
      <w:pPr>
        <w:pStyle w:val="Heading1"/>
        <w:spacing w:before="0" w:line="240" w:lineRule="auto"/>
        <w:jc w:val="center"/>
        <w:rPr>
          <w:rFonts w:ascii="Titillium Web" w:eastAsia="Calibri" w:hAnsi="Titillium Web" w:cs="Calibri"/>
          <w:b/>
          <w:color w:val="000000"/>
          <w:sz w:val="28"/>
          <w:szCs w:val="28"/>
        </w:rPr>
      </w:pPr>
      <w:bookmarkStart w:id="36" w:name="_heading=h.479ns9ehvt0l" w:colFirst="0" w:colLast="0"/>
      <w:bookmarkEnd w:id="36"/>
      <w:r w:rsidRPr="00BA2938">
        <w:rPr>
          <w:rFonts w:ascii="Titillium Web" w:eastAsia="Calibri" w:hAnsi="Titillium Web" w:cs="Calibri"/>
          <w:b/>
          <w:color w:val="000000"/>
          <w:sz w:val="28"/>
          <w:szCs w:val="28"/>
        </w:rPr>
        <w:t>Navi Nasdaq 100 Fund of Fund</w:t>
      </w:r>
    </w:p>
    <w:p w14:paraId="000004CE" w14:textId="77777777" w:rsidR="00546EC1" w:rsidRPr="00BA2938" w:rsidRDefault="00546EC1" w:rsidP="00BA2938">
      <w:pPr>
        <w:spacing w:after="0" w:line="240" w:lineRule="auto"/>
        <w:rPr>
          <w:rFonts w:ascii="Titillium Web" w:hAnsi="Titillium Web"/>
        </w:rPr>
      </w:pPr>
    </w:p>
    <w:p w14:paraId="000004CF" w14:textId="77777777" w:rsidR="00546EC1" w:rsidRPr="00BA2938" w:rsidRDefault="00000000" w:rsidP="00BA2938">
      <w:pPr>
        <w:shd w:val="clear" w:color="auto" w:fill="FFFFFF"/>
        <w:spacing w:after="0" w:line="240" w:lineRule="auto"/>
        <w:jc w:val="both"/>
        <w:rPr>
          <w:rFonts w:ascii="Titillium Web" w:hAnsi="Titillium Web"/>
          <w:b/>
          <w:sz w:val="20"/>
          <w:szCs w:val="20"/>
        </w:rPr>
      </w:pPr>
      <w:r w:rsidRPr="00BA2938">
        <w:rPr>
          <w:rFonts w:ascii="Titillium Web" w:hAnsi="Titillium Web"/>
          <w:b/>
          <w:sz w:val="20"/>
          <w:szCs w:val="20"/>
        </w:rPr>
        <w:t>Scheme Specific Risk Factors</w:t>
      </w:r>
    </w:p>
    <w:p w14:paraId="000004D0" w14:textId="77777777" w:rsidR="00546EC1" w:rsidRPr="00BA2938" w:rsidRDefault="00546EC1" w:rsidP="00BA2938">
      <w:pPr>
        <w:shd w:val="clear" w:color="auto" w:fill="FFFFFF"/>
        <w:spacing w:after="0" w:line="240" w:lineRule="auto"/>
        <w:jc w:val="both"/>
        <w:rPr>
          <w:rFonts w:ascii="Titillium Web" w:hAnsi="Titillium Web"/>
          <w:b/>
          <w:sz w:val="20"/>
          <w:szCs w:val="20"/>
        </w:rPr>
      </w:pPr>
    </w:p>
    <w:p w14:paraId="000004D1" w14:textId="77777777" w:rsidR="00546EC1" w:rsidRPr="00BA2938" w:rsidRDefault="00000000" w:rsidP="00BA2938">
      <w:pPr>
        <w:shd w:val="clear" w:color="auto" w:fill="FFFFFF"/>
        <w:spacing w:after="0" w:line="240" w:lineRule="auto"/>
        <w:jc w:val="both"/>
        <w:rPr>
          <w:rFonts w:ascii="Titillium Web" w:hAnsi="Titillium Web"/>
          <w:b/>
          <w:sz w:val="20"/>
          <w:szCs w:val="20"/>
        </w:rPr>
      </w:pPr>
      <w:r w:rsidRPr="00BA2938">
        <w:rPr>
          <w:rFonts w:ascii="Titillium Web" w:hAnsi="Titillium Web"/>
          <w:sz w:val="20"/>
          <w:szCs w:val="20"/>
        </w:rPr>
        <w:t xml:space="preserve">The Scheme is subject to the risks described below. Some or </w:t>
      </w:r>
      <w:proofErr w:type="gramStart"/>
      <w:r w:rsidRPr="00BA2938">
        <w:rPr>
          <w:rFonts w:ascii="Titillium Web" w:hAnsi="Titillium Web"/>
          <w:sz w:val="20"/>
          <w:szCs w:val="20"/>
        </w:rPr>
        <w:t>all of</w:t>
      </w:r>
      <w:proofErr w:type="gramEnd"/>
      <w:r w:rsidRPr="00BA2938">
        <w:rPr>
          <w:rFonts w:ascii="Titillium Web" w:hAnsi="Titillium Web"/>
          <w:sz w:val="20"/>
          <w:szCs w:val="20"/>
        </w:rPr>
        <w:t xml:space="preserve"> these risks may adversely affect Scheme’s NAV, trading price, yield, return and/or its ability to meet its objectives.</w:t>
      </w:r>
    </w:p>
    <w:p w14:paraId="000004D2" w14:textId="77777777" w:rsidR="00546EC1" w:rsidRPr="00BA2938" w:rsidRDefault="00546EC1" w:rsidP="00BA2938">
      <w:pPr>
        <w:shd w:val="clear" w:color="auto" w:fill="FFFFFF"/>
        <w:spacing w:after="0" w:line="240" w:lineRule="auto"/>
        <w:jc w:val="both"/>
        <w:rPr>
          <w:rFonts w:ascii="Titillium Web" w:hAnsi="Titillium Web"/>
          <w:b/>
          <w:sz w:val="20"/>
          <w:szCs w:val="20"/>
        </w:rPr>
      </w:pPr>
    </w:p>
    <w:p w14:paraId="000004D3" w14:textId="77777777" w:rsidR="00546EC1" w:rsidRPr="00BA2938" w:rsidRDefault="00000000" w:rsidP="00BA2938">
      <w:pPr>
        <w:numPr>
          <w:ilvl w:val="0"/>
          <w:numId w:val="10"/>
        </w:numPr>
        <w:pBdr>
          <w:top w:val="nil"/>
          <w:left w:val="nil"/>
          <w:bottom w:val="nil"/>
          <w:right w:val="nil"/>
          <w:between w:val="nil"/>
        </w:pBdr>
        <w:shd w:val="clear" w:color="auto" w:fill="FFFFFF"/>
        <w:spacing w:after="0" w:line="240" w:lineRule="auto"/>
        <w:jc w:val="both"/>
        <w:rPr>
          <w:rFonts w:ascii="Titillium Web" w:hAnsi="Titillium Web"/>
          <w:color w:val="000000"/>
          <w:sz w:val="20"/>
          <w:szCs w:val="20"/>
        </w:rPr>
      </w:pPr>
      <w:r w:rsidRPr="00BA2938">
        <w:rPr>
          <w:rFonts w:ascii="Titillium Web" w:hAnsi="Titillium Web"/>
          <w:color w:val="000000"/>
          <w:sz w:val="20"/>
          <w:szCs w:val="20"/>
        </w:rPr>
        <w:t>The Scheme may invest in the units of overseas mutual fund(s) ETF’s and or Index funds based on NASDAQ 100 Index, which invest in equity or equity related securities of top 100 domestic and international non-financial companies listed at NASDAQ Stock Market. Any change in the investment policies or the fundamental attributes of the underlying schemes could affect the performance of the Scheme.</w:t>
      </w:r>
    </w:p>
    <w:p w14:paraId="000004D4" w14:textId="77777777" w:rsidR="00546EC1" w:rsidRPr="00BA2938" w:rsidRDefault="00000000" w:rsidP="00BA2938">
      <w:pPr>
        <w:numPr>
          <w:ilvl w:val="0"/>
          <w:numId w:val="10"/>
        </w:numPr>
        <w:pBdr>
          <w:top w:val="nil"/>
          <w:left w:val="nil"/>
          <w:bottom w:val="nil"/>
          <w:right w:val="nil"/>
          <w:between w:val="nil"/>
        </w:pBdr>
        <w:shd w:val="clear" w:color="auto" w:fill="FFFFFF"/>
        <w:spacing w:after="0" w:line="240" w:lineRule="auto"/>
        <w:jc w:val="both"/>
        <w:rPr>
          <w:rFonts w:ascii="Titillium Web" w:hAnsi="Titillium Web"/>
          <w:color w:val="000000"/>
          <w:sz w:val="20"/>
          <w:szCs w:val="20"/>
        </w:rPr>
      </w:pPr>
      <w:r w:rsidRPr="00BA2938">
        <w:rPr>
          <w:rFonts w:ascii="Titillium Web" w:hAnsi="Titillium Web"/>
          <w:color w:val="000000"/>
          <w:sz w:val="20"/>
          <w:szCs w:val="20"/>
        </w:rPr>
        <w:t xml:space="preserve">The Scheme will primarily invest in overseas mutual funds ETF’s and or Index funds based on NASDAQ 100 Index. For every such investment, the risk factors of the underlying schemes will be relevant and must be treated as risk factors of Navi NASDAQ 100 Fund of Fund. The risks in such underlying schemes may relate to factors such as performance of underlying stocks, bonds, derivative instruments, offshore investments, interest rates </w:t>
      </w:r>
      <w:proofErr w:type="gramStart"/>
      <w:r w:rsidRPr="00BA2938">
        <w:rPr>
          <w:rFonts w:ascii="Titillium Web" w:hAnsi="Titillium Web"/>
          <w:color w:val="000000"/>
          <w:sz w:val="20"/>
          <w:szCs w:val="20"/>
        </w:rPr>
        <w:t>risks</w:t>
      </w:r>
      <w:proofErr w:type="gramEnd"/>
      <w:r w:rsidRPr="00BA2938">
        <w:rPr>
          <w:rFonts w:ascii="Titillium Web" w:hAnsi="Titillium Web"/>
          <w:color w:val="000000"/>
          <w:sz w:val="20"/>
          <w:szCs w:val="20"/>
        </w:rPr>
        <w:t>, and exchange risks, to name a few.</w:t>
      </w:r>
    </w:p>
    <w:p w14:paraId="000004D5" w14:textId="77777777" w:rsidR="00546EC1" w:rsidRPr="00BA2938" w:rsidRDefault="00000000" w:rsidP="00BA2938">
      <w:pPr>
        <w:numPr>
          <w:ilvl w:val="0"/>
          <w:numId w:val="2"/>
        </w:numPr>
        <w:pBdr>
          <w:top w:val="nil"/>
          <w:left w:val="nil"/>
          <w:bottom w:val="nil"/>
          <w:right w:val="nil"/>
          <w:between w:val="nil"/>
        </w:pBdr>
        <w:shd w:val="clear" w:color="auto" w:fill="FFFFFF"/>
        <w:spacing w:after="0" w:line="240" w:lineRule="auto"/>
        <w:jc w:val="both"/>
        <w:rPr>
          <w:rFonts w:ascii="Titillium Web" w:hAnsi="Titillium Web"/>
          <w:color w:val="000000"/>
          <w:sz w:val="20"/>
          <w:szCs w:val="20"/>
        </w:rPr>
      </w:pPr>
      <w:r w:rsidRPr="00BA2938">
        <w:rPr>
          <w:rFonts w:ascii="Titillium Web" w:hAnsi="Titillium Web"/>
          <w:color w:val="000000"/>
          <w:sz w:val="20"/>
          <w:szCs w:val="20"/>
        </w:rPr>
        <w:t>To the extent the assets of the Scheme are invested in overseas funds, the performance, risk profile and liquidity of the Scheme will be directly related to those of the underlying funds.</w:t>
      </w:r>
    </w:p>
    <w:p w14:paraId="000004D6" w14:textId="77777777" w:rsidR="00546EC1" w:rsidRPr="00BA2938" w:rsidRDefault="00000000" w:rsidP="00BA2938">
      <w:pPr>
        <w:numPr>
          <w:ilvl w:val="0"/>
          <w:numId w:val="2"/>
        </w:numPr>
        <w:pBdr>
          <w:top w:val="nil"/>
          <w:left w:val="nil"/>
          <w:bottom w:val="nil"/>
          <w:right w:val="nil"/>
          <w:between w:val="nil"/>
        </w:pBdr>
        <w:shd w:val="clear" w:color="auto" w:fill="FFFFFF"/>
        <w:spacing w:after="0" w:line="240" w:lineRule="auto"/>
        <w:jc w:val="both"/>
        <w:rPr>
          <w:rFonts w:ascii="Titillium Web" w:hAnsi="Titillium Web"/>
          <w:color w:val="000000"/>
          <w:sz w:val="20"/>
          <w:szCs w:val="20"/>
        </w:rPr>
      </w:pPr>
      <w:r w:rsidRPr="00BA2938">
        <w:rPr>
          <w:rFonts w:ascii="Titillium Web" w:hAnsi="Titillium Web"/>
          <w:color w:val="000000"/>
          <w:sz w:val="20"/>
          <w:szCs w:val="20"/>
        </w:rPr>
        <w:t>The funds in which the Scheme invests may not perform in line with the market and may also not achieve its investment objective. In such a situation, the performance of the Scheme could be affected and its ability to achieve its investment objective may be impaired.</w:t>
      </w:r>
    </w:p>
    <w:p w14:paraId="000004D7" w14:textId="77777777" w:rsidR="00546EC1" w:rsidRPr="00BA2938" w:rsidRDefault="00000000" w:rsidP="00BA2938">
      <w:pPr>
        <w:numPr>
          <w:ilvl w:val="0"/>
          <w:numId w:val="2"/>
        </w:numPr>
        <w:pBdr>
          <w:top w:val="nil"/>
          <w:left w:val="nil"/>
          <w:bottom w:val="nil"/>
          <w:right w:val="nil"/>
          <w:between w:val="nil"/>
        </w:pBdr>
        <w:shd w:val="clear" w:color="auto" w:fill="FFFFFF"/>
        <w:spacing w:after="0" w:line="240" w:lineRule="auto"/>
        <w:jc w:val="both"/>
        <w:rPr>
          <w:rFonts w:ascii="Titillium Web" w:hAnsi="Titillium Web"/>
          <w:color w:val="000000"/>
          <w:sz w:val="20"/>
          <w:szCs w:val="20"/>
        </w:rPr>
      </w:pPr>
      <w:r w:rsidRPr="00BA2938">
        <w:rPr>
          <w:rFonts w:ascii="Titillium Web" w:hAnsi="Titillium Web"/>
          <w:color w:val="000000"/>
          <w:sz w:val="20"/>
          <w:szCs w:val="20"/>
        </w:rPr>
        <w:t xml:space="preserve">Investments in underlying schemes will have all the risks associated with such schemes including performance of underlying stocks, derivative investments, </w:t>
      </w:r>
      <w:proofErr w:type="gramStart"/>
      <w:r w:rsidRPr="00BA2938">
        <w:rPr>
          <w:rFonts w:ascii="Titillium Web" w:hAnsi="Titillium Web"/>
          <w:color w:val="000000"/>
          <w:sz w:val="20"/>
          <w:szCs w:val="20"/>
        </w:rPr>
        <w:t>off shore</w:t>
      </w:r>
      <w:proofErr w:type="gramEnd"/>
      <w:r w:rsidRPr="00BA2938">
        <w:rPr>
          <w:rFonts w:ascii="Titillium Web" w:hAnsi="Titillium Web"/>
          <w:color w:val="000000"/>
          <w:sz w:val="20"/>
          <w:szCs w:val="20"/>
        </w:rPr>
        <w:t xml:space="preserve"> investments, stock lending, changes in credit rating, trading volumes, settlement periods, price/interest rate risk, volatility &amp; liquidity in money markets, basis risk, spread risk, re-investment risk, etc.</w:t>
      </w:r>
    </w:p>
    <w:p w14:paraId="000004D8" w14:textId="77777777" w:rsidR="00546EC1" w:rsidRPr="00BA2938" w:rsidRDefault="00000000" w:rsidP="00BA2938">
      <w:pPr>
        <w:numPr>
          <w:ilvl w:val="0"/>
          <w:numId w:val="2"/>
        </w:numPr>
        <w:pBdr>
          <w:top w:val="nil"/>
          <w:left w:val="nil"/>
          <w:bottom w:val="nil"/>
          <w:right w:val="nil"/>
          <w:between w:val="nil"/>
        </w:pBdr>
        <w:shd w:val="clear" w:color="auto" w:fill="FFFFFF"/>
        <w:spacing w:after="0" w:line="240" w:lineRule="auto"/>
        <w:jc w:val="both"/>
        <w:rPr>
          <w:rFonts w:ascii="Titillium Web" w:hAnsi="Titillium Web"/>
          <w:color w:val="000000"/>
          <w:sz w:val="20"/>
          <w:szCs w:val="20"/>
        </w:rPr>
      </w:pPr>
      <w:r w:rsidRPr="00BA2938">
        <w:rPr>
          <w:rFonts w:ascii="Titillium Web" w:hAnsi="Titillium Web"/>
          <w:color w:val="000000"/>
          <w:sz w:val="20"/>
          <w:szCs w:val="20"/>
        </w:rPr>
        <w:t>The investors should refer to the Scheme Information Documents and the related addendum for the scheme specific risk factors and special consideration of the respective Underlying Schemes.</w:t>
      </w:r>
    </w:p>
    <w:p w14:paraId="000004D9" w14:textId="77777777" w:rsidR="00546EC1" w:rsidRPr="00BA2938" w:rsidRDefault="00000000" w:rsidP="00BA2938">
      <w:pPr>
        <w:numPr>
          <w:ilvl w:val="0"/>
          <w:numId w:val="2"/>
        </w:numPr>
        <w:pBdr>
          <w:top w:val="nil"/>
          <w:left w:val="nil"/>
          <w:bottom w:val="nil"/>
          <w:right w:val="nil"/>
          <w:between w:val="nil"/>
        </w:pBdr>
        <w:shd w:val="clear" w:color="auto" w:fill="FFFFFF"/>
        <w:spacing w:after="0" w:line="240" w:lineRule="auto"/>
        <w:jc w:val="both"/>
        <w:rPr>
          <w:rFonts w:ascii="Titillium Web" w:hAnsi="Titillium Web"/>
          <w:color w:val="000000"/>
          <w:sz w:val="20"/>
          <w:szCs w:val="20"/>
        </w:rPr>
      </w:pPr>
      <w:r w:rsidRPr="00BA2938">
        <w:rPr>
          <w:rFonts w:ascii="Titillium Web" w:hAnsi="Titillium Web"/>
          <w:color w:val="000000"/>
          <w:sz w:val="20"/>
          <w:szCs w:val="20"/>
        </w:rPr>
        <w:t>Since the Scheme proposes to invest in underlying schemes, the Scheme's performance will depend upon the performance of the underlying schemes and any significant underperformance in even one of the underlying schemes may adversely affect the performance of the Scheme.</w:t>
      </w:r>
    </w:p>
    <w:p w14:paraId="000004DA" w14:textId="77777777" w:rsidR="00546EC1" w:rsidRPr="00BA2938" w:rsidRDefault="00000000" w:rsidP="00BA2938">
      <w:pPr>
        <w:numPr>
          <w:ilvl w:val="0"/>
          <w:numId w:val="2"/>
        </w:numPr>
        <w:pBdr>
          <w:top w:val="nil"/>
          <w:left w:val="nil"/>
          <w:bottom w:val="nil"/>
          <w:right w:val="nil"/>
          <w:between w:val="nil"/>
        </w:pBdr>
        <w:shd w:val="clear" w:color="auto" w:fill="FFFFFF"/>
        <w:spacing w:after="0" w:line="240" w:lineRule="auto"/>
        <w:jc w:val="both"/>
        <w:rPr>
          <w:rFonts w:ascii="Titillium Web" w:hAnsi="Titillium Web"/>
          <w:color w:val="000000"/>
          <w:sz w:val="20"/>
          <w:szCs w:val="20"/>
        </w:rPr>
      </w:pPr>
      <w:r w:rsidRPr="00BA2938">
        <w:rPr>
          <w:rFonts w:ascii="Titillium Web" w:hAnsi="Titillium Web"/>
          <w:color w:val="000000"/>
          <w:sz w:val="20"/>
          <w:szCs w:val="20"/>
        </w:rPr>
        <w:t>Any change in the investment policies or the fundamental attributes of the underlying schemes may affect the performance of the Scheme.</w:t>
      </w:r>
    </w:p>
    <w:p w14:paraId="000004DB" w14:textId="77777777" w:rsidR="00546EC1" w:rsidRPr="00BA2938" w:rsidRDefault="00000000" w:rsidP="00BA2938">
      <w:pPr>
        <w:numPr>
          <w:ilvl w:val="0"/>
          <w:numId w:val="2"/>
        </w:numPr>
        <w:pBdr>
          <w:top w:val="nil"/>
          <w:left w:val="nil"/>
          <w:bottom w:val="nil"/>
          <w:right w:val="nil"/>
          <w:between w:val="nil"/>
        </w:pBdr>
        <w:shd w:val="clear" w:color="auto" w:fill="FFFFFF"/>
        <w:spacing w:after="0" w:line="240" w:lineRule="auto"/>
        <w:jc w:val="both"/>
        <w:rPr>
          <w:rFonts w:ascii="Titillium Web" w:hAnsi="Titillium Web"/>
          <w:color w:val="000000"/>
          <w:sz w:val="20"/>
          <w:szCs w:val="20"/>
        </w:rPr>
      </w:pPr>
      <w:r w:rsidRPr="00BA2938">
        <w:rPr>
          <w:rFonts w:ascii="Titillium Web" w:hAnsi="Titillium Web"/>
          <w:color w:val="000000"/>
          <w:sz w:val="20"/>
          <w:szCs w:val="20"/>
        </w:rPr>
        <w:t>The Portfolio disclosure of the Scheme may be limited to providing the particulars of the underlying schemes where the Scheme has invested and may not include the investments made by the underlying schemes.</w:t>
      </w:r>
    </w:p>
    <w:p w14:paraId="000004DC" w14:textId="77777777" w:rsidR="00546EC1" w:rsidRPr="00BA2938" w:rsidRDefault="00000000" w:rsidP="00BA2938">
      <w:pPr>
        <w:numPr>
          <w:ilvl w:val="0"/>
          <w:numId w:val="2"/>
        </w:numPr>
        <w:pBdr>
          <w:top w:val="nil"/>
          <w:left w:val="nil"/>
          <w:bottom w:val="nil"/>
          <w:right w:val="nil"/>
          <w:between w:val="nil"/>
        </w:pBdr>
        <w:shd w:val="clear" w:color="auto" w:fill="FFFFFF"/>
        <w:spacing w:after="0" w:line="240" w:lineRule="auto"/>
        <w:jc w:val="both"/>
        <w:rPr>
          <w:rFonts w:ascii="Titillium Web" w:hAnsi="Titillium Web"/>
          <w:color w:val="000000"/>
          <w:sz w:val="20"/>
          <w:szCs w:val="20"/>
        </w:rPr>
      </w:pPr>
      <w:r w:rsidRPr="00BA2938">
        <w:rPr>
          <w:rFonts w:ascii="Titillium Web" w:hAnsi="Titillium Web"/>
          <w:color w:val="000000"/>
          <w:sz w:val="20"/>
          <w:szCs w:val="20"/>
        </w:rPr>
        <w:t>The investors of the Scheme shall bear the recurring expenses of the Scheme in addition to the expenses of the underlying schemes. Hence the investor under the Scheme may receive lower pretax returns than what they may receive if they had invested directly in the underlying schemes in the same proportions.</w:t>
      </w:r>
    </w:p>
    <w:p w14:paraId="000004DD" w14:textId="77777777" w:rsidR="00546EC1" w:rsidRPr="00BA2938" w:rsidRDefault="00000000" w:rsidP="00BA2938">
      <w:pPr>
        <w:numPr>
          <w:ilvl w:val="0"/>
          <w:numId w:val="2"/>
        </w:numPr>
        <w:pBdr>
          <w:top w:val="nil"/>
          <w:left w:val="nil"/>
          <w:bottom w:val="nil"/>
          <w:right w:val="nil"/>
          <w:between w:val="nil"/>
        </w:pBdr>
        <w:shd w:val="clear" w:color="auto" w:fill="FFFFFF"/>
        <w:spacing w:after="0" w:line="240" w:lineRule="auto"/>
        <w:jc w:val="both"/>
        <w:rPr>
          <w:rFonts w:ascii="Titillium Web" w:hAnsi="Titillium Web"/>
          <w:color w:val="000000"/>
          <w:sz w:val="20"/>
          <w:szCs w:val="20"/>
        </w:rPr>
      </w:pPr>
      <w:r w:rsidRPr="00BA2938">
        <w:rPr>
          <w:rFonts w:ascii="Titillium Web" w:hAnsi="Titillium Web"/>
          <w:color w:val="000000"/>
          <w:sz w:val="20"/>
          <w:szCs w:val="20"/>
        </w:rPr>
        <w:lastRenderedPageBreak/>
        <w:t>The Portfolio rebalancing may result in higher transaction costs.</w:t>
      </w:r>
    </w:p>
    <w:p w14:paraId="000004DE" w14:textId="77777777" w:rsidR="00546EC1" w:rsidRPr="00BA2938" w:rsidRDefault="00000000" w:rsidP="00BA2938">
      <w:pPr>
        <w:numPr>
          <w:ilvl w:val="0"/>
          <w:numId w:val="2"/>
        </w:numPr>
        <w:pBdr>
          <w:top w:val="nil"/>
          <w:left w:val="nil"/>
          <w:bottom w:val="nil"/>
          <w:right w:val="nil"/>
          <w:between w:val="nil"/>
        </w:pBdr>
        <w:shd w:val="clear" w:color="auto" w:fill="FFFFFF"/>
        <w:spacing w:after="0" w:line="240" w:lineRule="auto"/>
        <w:jc w:val="both"/>
        <w:rPr>
          <w:rFonts w:ascii="Titillium Web" w:hAnsi="Titillium Web"/>
          <w:color w:val="000000"/>
          <w:sz w:val="20"/>
          <w:szCs w:val="20"/>
        </w:rPr>
      </w:pPr>
      <w:r w:rsidRPr="00BA2938">
        <w:rPr>
          <w:rFonts w:ascii="Titillium Web" w:hAnsi="Titillium Web"/>
          <w:color w:val="000000"/>
          <w:sz w:val="20"/>
          <w:szCs w:val="20"/>
        </w:rPr>
        <w:t>The Scheme’s performance may be impacted by exit loads or other redemption charges that may be charged at the time of redemption from the Underlying Schemes. Since the incidence of exit loads on investments made by the Scheme in Underlying Schemes of the Fund is based on first-in, first-out principle, it is anticipated that the impact of such exit loads/redemption charges could be minimal during the normal course of functioning of the Scheme.</w:t>
      </w:r>
    </w:p>
    <w:p w14:paraId="000004DF" w14:textId="77777777" w:rsidR="00546EC1" w:rsidRPr="00BA2938" w:rsidRDefault="00546EC1" w:rsidP="00BA2938">
      <w:pPr>
        <w:shd w:val="clear" w:color="auto" w:fill="FFFFFF"/>
        <w:spacing w:after="0" w:line="240" w:lineRule="auto"/>
        <w:jc w:val="both"/>
        <w:rPr>
          <w:rFonts w:ascii="Titillium Web" w:hAnsi="Titillium Web"/>
          <w:b/>
          <w:sz w:val="20"/>
          <w:szCs w:val="20"/>
        </w:rPr>
      </w:pPr>
    </w:p>
    <w:p w14:paraId="000004E0" w14:textId="77777777" w:rsidR="00546EC1" w:rsidRPr="00BA2938" w:rsidRDefault="00000000" w:rsidP="00BA2938">
      <w:pPr>
        <w:shd w:val="clear" w:color="auto" w:fill="FFFFFF"/>
        <w:spacing w:after="0" w:line="240" w:lineRule="auto"/>
        <w:jc w:val="both"/>
        <w:rPr>
          <w:rFonts w:ascii="Titillium Web" w:hAnsi="Titillium Web"/>
          <w:b/>
          <w:sz w:val="20"/>
          <w:szCs w:val="20"/>
        </w:rPr>
      </w:pPr>
      <w:r w:rsidRPr="00BA2938">
        <w:rPr>
          <w:rFonts w:ascii="Titillium Web" w:hAnsi="Titillium Web"/>
          <w:b/>
          <w:sz w:val="20"/>
          <w:szCs w:val="20"/>
        </w:rPr>
        <w:t>Risk associated with investing in NASDAQ 100 ETF’s and /or Index Funds</w:t>
      </w:r>
    </w:p>
    <w:p w14:paraId="000004E1"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4E2"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a. Investments in the equity shares of the Companies constituting the Index are subject to price fluctuation on daily basis. The volatility in the value of equity is due to various micro and macroeconomic factors like economic and political developments, changes in interest rates, etc. affecting the securities markets. This may have adverse impact on individual securities/sector and consequently on the NAV of Scheme.</w:t>
      </w:r>
    </w:p>
    <w:p w14:paraId="000004E3"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4E4"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 xml:space="preserve">b. As the units of underlying ETF’s </w:t>
      </w:r>
      <w:proofErr w:type="gramStart"/>
      <w:r w:rsidRPr="00BA2938">
        <w:rPr>
          <w:rFonts w:ascii="Titillium Web" w:hAnsi="Titillium Web"/>
          <w:sz w:val="20"/>
          <w:szCs w:val="20"/>
        </w:rPr>
        <w:t>are</w:t>
      </w:r>
      <w:proofErr w:type="gramEnd"/>
      <w:r w:rsidRPr="00BA2938">
        <w:rPr>
          <w:rFonts w:ascii="Titillium Web" w:hAnsi="Titillium Web"/>
          <w:sz w:val="20"/>
          <w:szCs w:val="20"/>
        </w:rPr>
        <w:t xml:space="preserve"> listed on the Stock Exchange, trading in the units may be halted due to market conditions or for reasons that in the view of the Exchange Authorities or Regulator. There could also be trading halts caused by extraordinary market volatility and pursuant to Exchange Authorities and Regulator circuit filter rules and the underlying </w:t>
      </w:r>
      <w:proofErr w:type="gramStart"/>
      <w:r w:rsidRPr="00BA2938">
        <w:rPr>
          <w:rFonts w:ascii="Titillium Web" w:hAnsi="Titillium Web"/>
          <w:sz w:val="20"/>
          <w:szCs w:val="20"/>
        </w:rPr>
        <w:t>ETF’s</w:t>
      </w:r>
      <w:proofErr w:type="gramEnd"/>
      <w:r w:rsidRPr="00BA2938">
        <w:rPr>
          <w:rFonts w:ascii="Titillium Web" w:hAnsi="Titillium Web"/>
          <w:sz w:val="20"/>
          <w:szCs w:val="20"/>
        </w:rPr>
        <w:t xml:space="preserve"> would not be able to buy/sell securities in case of subscriptions/redemptions, which may impact the Scheme. </w:t>
      </w:r>
    </w:p>
    <w:p w14:paraId="000004E5"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Further, there can be no assurance that the requirements of the exchange necessary to maintain the listing of the Underlying ETF’s will continue to be met or will remain unchanged.</w:t>
      </w:r>
    </w:p>
    <w:p w14:paraId="000004E6"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4E7"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c. Listing and trading of the underlying ETF’s are undertaken on the Stock Exchanges within the rules, regulation and policy of the Stock Exchange and Regulator. Any change in trading rules, regulation and policy by the regulatory authority would have a bearing on the trading of the units of the underlying ETF’s and its prices.</w:t>
      </w:r>
    </w:p>
    <w:p w14:paraId="000004E8"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4E9"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d. The NAV of the underlying ETF’s and or Index funds reflect the valuation of its investment and any changes in market value of its investments would have a bearing on its NAV. When the units are traded on the Stock Exchange, the units of the underlying ETF’s may trade at prices which can be different from the NAV due to various factors like demand and supply for the units of the underlying ETF’s, perceived trends in the market outlook, etc.</w:t>
      </w:r>
    </w:p>
    <w:p w14:paraId="000004EA"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4EB"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 xml:space="preserve">e. Market Risk: The underlying ETF’s and or Index funds NAV will react to stock market </w:t>
      </w:r>
      <w:proofErr w:type="gramStart"/>
      <w:r w:rsidRPr="00BA2938">
        <w:rPr>
          <w:rFonts w:ascii="Titillium Web" w:hAnsi="Titillium Web"/>
          <w:sz w:val="20"/>
          <w:szCs w:val="20"/>
        </w:rPr>
        <w:t>movements .The</w:t>
      </w:r>
      <w:proofErr w:type="gramEnd"/>
      <w:r w:rsidRPr="00BA2938">
        <w:rPr>
          <w:rFonts w:ascii="Titillium Web" w:hAnsi="Titillium Web"/>
          <w:sz w:val="20"/>
          <w:szCs w:val="20"/>
        </w:rPr>
        <w:t xml:space="preserve"> value of investments in the scheme may go down over a short or long period due to fluctuations in underlying ETF’s and or Index funds NAV in response to factors such as</w:t>
      </w:r>
    </w:p>
    <w:p w14:paraId="000004EC"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performance of companies whose stock comprises the underlying portfolio, economic and political developments, changes is government policies, changes in interest rates, inflation and other monetary factors causing movement in prices of underlining investments.</w:t>
      </w:r>
    </w:p>
    <w:p w14:paraId="000004ED"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4EE"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 xml:space="preserve">f. Index-Related Risk: The underlying ETF’s and or Index funds invests in NASDAQ 100 Index securities in the same proportion as the securities have in the Index. Hence, the risk associated with the corresponding Index </w:t>
      </w:r>
      <w:r w:rsidRPr="00BA2938">
        <w:rPr>
          <w:rFonts w:ascii="Titillium Web" w:hAnsi="Titillium Web"/>
          <w:sz w:val="20"/>
          <w:szCs w:val="20"/>
        </w:rPr>
        <w:lastRenderedPageBreak/>
        <w:t xml:space="preserve">would be applicable to the underlying ETF’s and or index funds. The Index has its own criteria and policy for inclusion/exclusion of securities from the Index, its maintenance thereof and effecting corporate actions. The underlying ETF’s and or Index funds would invest in the securities of the Index regardless of investment merit, research, without taking a view of the market and without adopting any defensive measures. The underlying ETF’s and or Index funds would not select securities in which it wants to invest but is guided by the Index. As such the underlying ETF’s and or Index funds is not actively managed but is passively managed. </w:t>
      </w:r>
    </w:p>
    <w:p w14:paraId="000004EF"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4F0"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There is no guarantee that the underlying ETF’s and or Index funds will achieve a high degree of correlation to the Underlying Index and therefore achieve its investment objective.</w:t>
      </w:r>
    </w:p>
    <w:p w14:paraId="000004F1"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4F2"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g. Management Risk. As the underlying ETF’s and or Index funds may not fully replicate the Underlying Index, it is subject to the risk that investment strategy may not produce the intended results.</w:t>
      </w:r>
    </w:p>
    <w:p w14:paraId="000004F3"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4F4"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h. Concentration Risk. The underlying ETF’s and or Index funds may be susceptible to an increased risk of loss, including losses due to adverse occurrences affecting the underlying ETF’s and or index funds more than the market as a whole, to the extent that the investments are concentrated in the securities of a particular issuer or issuers, country, group of countries, region, market, industry, group of industries, sector or asset class.</w:t>
      </w:r>
    </w:p>
    <w:p w14:paraId="000004F5"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4F6" w14:textId="77777777" w:rsidR="00546EC1" w:rsidRPr="00BA2938" w:rsidRDefault="00000000" w:rsidP="00BA2938">
      <w:pPr>
        <w:shd w:val="clear" w:color="auto" w:fill="FFFFFF"/>
        <w:spacing w:after="0" w:line="240" w:lineRule="auto"/>
        <w:jc w:val="both"/>
        <w:rPr>
          <w:rFonts w:ascii="Titillium Web" w:hAnsi="Titillium Web"/>
          <w:sz w:val="20"/>
          <w:szCs w:val="20"/>
        </w:rPr>
      </w:pPr>
      <w:proofErr w:type="spellStart"/>
      <w:r w:rsidRPr="00BA2938">
        <w:rPr>
          <w:rFonts w:ascii="Titillium Web" w:hAnsi="Titillium Web"/>
          <w:sz w:val="20"/>
          <w:szCs w:val="20"/>
        </w:rPr>
        <w:t>i</w:t>
      </w:r>
      <w:proofErr w:type="spellEnd"/>
      <w:r w:rsidRPr="00BA2938">
        <w:rPr>
          <w:rFonts w:ascii="Titillium Web" w:hAnsi="Titillium Web"/>
          <w:sz w:val="20"/>
          <w:szCs w:val="20"/>
        </w:rPr>
        <w:t>. Currency Risk: As the underlying ETF’s and or Index funds will invest in securities which are denominated in foreign currencies, fluctuations in the exchange rates of these foreign currencies may have an impact on the income and value of the underlying ETF’s and or index funds. Thus, returns to investors are the result of a combination of returns from investments and from movements in exchange rates. Thus, the Indian rupee equivalent of the net assets, distribution and income may be adversely affected by changes in the exchange rates of respective foreign currencies relative to the Indian Rupee. Restrictions on currency trading that may be imposed by developing market countries will have an adverse effect on the value of the securities of companies that trade or operate in such countries. The repatriation of capital to India may also be hampered by changes in the regulations concerning exchange controls or political circumstances as well as the application to it of other restriction on investment.</w:t>
      </w:r>
    </w:p>
    <w:p w14:paraId="000004F7"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4F8"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j. In certain cases, settlement periods may be extended significantly by unforeseen circumstances. The inability of the underlying ETF’s and or Index funds to make intended securities purchases due to settlement problems could cause the Scheme to miss certain investment opportunities as in certain cases, settlement periods may be extended significantly by unforeseen circumstances. Similarly, the inability to sell securities held in the underlying ETF’s and or Index funds portfolio may result, at times, in potential losses to the Scheme, and there can be a subsequent decline in the value of the securities held in the underlying ETF’s and or Index funds.</w:t>
      </w:r>
    </w:p>
    <w:p w14:paraId="000004F9"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4FA"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k. Passive Investments: The underlying ETF’s and or Index funds is not actively managed. Since the Underlying Scheme is linked to index, it may be affected by a general decline in the stocks constituting NASDAQ Index. The Scheme as per its investment objective invests in the units of the Underlying ETF’s and or Index funds regardless of their investment merit.</w:t>
      </w:r>
    </w:p>
    <w:p w14:paraId="000004FB"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4FC"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lastRenderedPageBreak/>
        <w:t xml:space="preserve">l. Equity Securities Risk. Equity securities are subject to changes in value and their values may be more volatile than those of other asset classes. </w:t>
      </w:r>
    </w:p>
    <w:p w14:paraId="000004FD"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4FE"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m. Tracking Error Risk: Tracking error is the divergence of the underlying ETF’s and or Index funds from that of the Underlying Index. Tracking error may occur because of differences between the securities held in the underlying ETF’s and or Index Fund‘s portfolio and those included in the Underlying Index, pricing differences (including differences between a security‘s price at the local market close and the intrinsic value of a security at the time of calculation of the NAV), transaction costs, the underlying Fund‘s holding of cash, changes to the Underlying Index or the need to meet various new or existing regulatory requirements. This risk may be heightened during times of increased market volatility or other unusual market conditions.</w:t>
      </w:r>
    </w:p>
    <w:p w14:paraId="000004FF"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00"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n. Treaty/ Tax Risk. The Fund rely on the Double Tax Avoidance Agreement (DTAA) between India and Luxembourg/Ireland/other countries for relief from certain Indian taxes. Treaty renegotiation (particularly to introduce a limitation on benefits clause) or future legislative or regulatory changes or other administrative or legal developments, which may result in higher taxes and/or lower returns for the Fund.</w:t>
      </w:r>
    </w:p>
    <w:p w14:paraId="00000501" w14:textId="77777777" w:rsidR="00546EC1" w:rsidRPr="00BA2938" w:rsidRDefault="00546EC1" w:rsidP="00BA2938">
      <w:pPr>
        <w:shd w:val="clear" w:color="auto" w:fill="FFFFFF"/>
        <w:spacing w:after="0" w:line="240" w:lineRule="auto"/>
        <w:jc w:val="both"/>
        <w:rPr>
          <w:rFonts w:ascii="Titillium Web" w:hAnsi="Titillium Web"/>
          <w:b/>
          <w:sz w:val="20"/>
          <w:szCs w:val="20"/>
        </w:rPr>
      </w:pPr>
    </w:p>
    <w:p w14:paraId="00000502" w14:textId="77777777" w:rsidR="00546EC1" w:rsidRPr="00BA2938" w:rsidRDefault="00000000" w:rsidP="00BA2938">
      <w:pPr>
        <w:shd w:val="clear" w:color="auto" w:fill="FFFFFF"/>
        <w:spacing w:after="0" w:line="240" w:lineRule="auto"/>
        <w:jc w:val="both"/>
        <w:rPr>
          <w:rFonts w:ascii="Titillium Web" w:hAnsi="Titillium Web"/>
          <w:b/>
          <w:sz w:val="20"/>
          <w:szCs w:val="20"/>
        </w:rPr>
      </w:pPr>
      <w:r w:rsidRPr="00BA2938">
        <w:rPr>
          <w:rFonts w:ascii="Titillium Web" w:hAnsi="Titillium Web"/>
          <w:b/>
          <w:sz w:val="20"/>
          <w:szCs w:val="20"/>
        </w:rPr>
        <w:t xml:space="preserve">Trading through mutual fund trading platforms of BSE and/ or NSE </w:t>
      </w:r>
    </w:p>
    <w:p w14:paraId="00000503"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In respect of transaction in Units of the Scheme through BSE and/ or NSE, allotment and redemption of Units on any Business Day will depend upon the order processing/settlement by BSE and/ or NSE and their respective clearing corporations on which the Mutual Fund has no control.</w:t>
      </w:r>
    </w:p>
    <w:p w14:paraId="00000504"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05" w14:textId="77777777" w:rsidR="00546EC1" w:rsidRPr="00BA2938" w:rsidRDefault="00000000" w:rsidP="00BA2938">
      <w:pPr>
        <w:shd w:val="clear" w:color="auto" w:fill="FFFFFF"/>
        <w:spacing w:after="0" w:line="240" w:lineRule="auto"/>
        <w:jc w:val="both"/>
        <w:rPr>
          <w:rFonts w:ascii="Titillium Web" w:hAnsi="Titillium Web"/>
          <w:b/>
          <w:sz w:val="20"/>
          <w:szCs w:val="20"/>
          <w:u w:val="single"/>
        </w:rPr>
      </w:pPr>
      <w:r w:rsidRPr="00BA2938">
        <w:rPr>
          <w:rFonts w:ascii="Titillium Web" w:hAnsi="Titillium Web"/>
          <w:b/>
          <w:sz w:val="20"/>
          <w:szCs w:val="20"/>
          <w:u w:val="single"/>
        </w:rPr>
        <w:t>Risks associated with Fixed Income securities:</w:t>
      </w:r>
    </w:p>
    <w:p w14:paraId="00000506"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07"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The following are the risks associated with investment in Fixed Income securities:</w:t>
      </w:r>
    </w:p>
    <w:p w14:paraId="00000508"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09"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b/>
          <w:sz w:val="20"/>
          <w:szCs w:val="20"/>
        </w:rPr>
        <w:t>Interest-Rate Risk:</w:t>
      </w:r>
      <w:r w:rsidRPr="00BA2938">
        <w:rPr>
          <w:rFonts w:ascii="Titillium Web" w:hAnsi="Titillium Web"/>
          <w:sz w:val="20"/>
          <w:szCs w:val="20"/>
        </w:rPr>
        <w:t xml:space="preserve"> Fixed income securities such as government bonds, corporate bonds, Money Market Instruments and Derivatives run price-risk or interest-rate risk. Generally, when interest rates rise, prices of existing fixed income securities fall and when interest rates drop, such prices increase. The extent of fall or rise in the prices depends upon the coupon and maturity of the security. It also depends upon the level at which the security is being traded.</w:t>
      </w:r>
    </w:p>
    <w:p w14:paraId="0000050A"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0B"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b/>
          <w:sz w:val="20"/>
          <w:szCs w:val="20"/>
        </w:rPr>
        <w:t xml:space="preserve">Re-investment Risk: </w:t>
      </w:r>
      <w:r w:rsidRPr="00BA2938">
        <w:rPr>
          <w:rFonts w:ascii="Titillium Web" w:hAnsi="Titillium Web"/>
          <w:sz w:val="20"/>
          <w:szCs w:val="20"/>
        </w:rPr>
        <w:t>Investments in fixed income securities carry re-investment risk as interest rates prevailing on the coupon payment or maturity dates may differ from the original coupon of the bond.</w:t>
      </w:r>
    </w:p>
    <w:p w14:paraId="0000050C"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0D"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b/>
          <w:sz w:val="20"/>
          <w:szCs w:val="20"/>
        </w:rPr>
        <w:t>Basis Risk</w:t>
      </w:r>
      <w:r w:rsidRPr="00BA2938">
        <w:rPr>
          <w:rFonts w:ascii="Titillium Web" w:hAnsi="Titillium Web"/>
          <w:sz w:val="20"/>
          <w:szCs w:val="20"/>
        </w:rPr>
        <w:t>: The underlying benchmark of a floating rate security or a swap might become less active or may cease to exist and thus may not be able to capture the exact interest rate movements, leading to loss of value of the portfolio.</w:t>
      </w:r>
    </w:p>
    <w:p w14:paraId="0000050E"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0F"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b/>
          <w:sz w:val="20"/>
          <w:szCs w:val="20"/>
        </w:rPr>
        <w:t xml:space="preserve">Spread Risk: </w:t>
      </w:r>
      <w:r w:rsidRPr="00BA2938">
        <w:rPr>
          <w:rFonts w:ascii="Titillium Web" w:hAnsi="Titillium Web"/>
          <w:sz w:val="20"/>
          <w:szCs w:val="20"/>
        </w:rPr>
        <w:t xml:space="preserve">In a floating rate </w:t>
      </w:r>
      <w:proofErr w:type="gramStart"/>
      <w:r w:rsidRPr="00BA2938">
        <w:rPr>
          <w:rFonts w:ascii="Titillium Web" w:hAnsi="Titillium Web"/>
          <w:sz w:val="20"/>
          <w:szCs w:val="20"/>
        </w:rPr>
        <w:t>security</w:t>
      </w:r>
      <w:proofErr w:type="gramEnd"/>
      <w:r w:rsidRPr="00BA2938">
        <w:rPr>
          <w:rFonts w:ascii="Titillium Web" w:hAnsi="Titillium Web"/>
          <w:sz w:val="20"/>
          <w:szCs w:val="20"/>
        </w:rPr>
        <w:t xml:space="preserve"> the coupon is expressed in terms of a spread or mark up over the benchmark rate. In the life of the security this spread may move adversely leading to loss in value of the portfolio. </w:t>
      </w:r>
      <w:r w:rsidRPr="00BA2938">
        <w:rPr>
          <w:rFonts w:ascii="Titillium Web" w:hAnsi="Titillium Web"/>
          <w:sz w:val="20"/>
          <w:szCs w:val="20"/>
        </w:rPr>
        <w:lastRenderedPageBreak/>
        <w:t>The yield of the underlying benchmark might not change, but the spread of the security over the underlying benchmark might increase leading to loss in value of the security.</w:t>
      </w:r>
    </w:p>
    <w:p w14:paraId="00000510"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11"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w:t>
      </w:r>
      <w:r w:rsidRPr="00BA2938">
        <w:rPr>
          <w:rFonts w:ascii="Titillium Web" w:hAnsi="Titillium Web"/>
          <w:sz w:val="20"/>
          <w:szCs w:val="20"/>
        </w:rPr>
        <w:t xml:space="preserve">The liquidity of a bond may change, depending on market conditions leading to changes in the liquidity premium attached to the price of the bond. At the time of selling the security, the security can become illiquid, leading to loss in value of the portfolio. </w:t>
      </w:r>
    </w:p>
    <w:p w14:paraId="00000512"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13"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b/>
          <w:sz w:val="20"/>
          <w:szCs w:val="20"/>
        </w:rPr>
        <w:t xml:space="preserve">Credit Risk: </w:t>
      </w:r>
      <w:r w:rsidRPr="00BA2938">
        <w:rPr>
          <w:rFonts w:ascii="Titillium Web" w:hAnsi="Titillium Web"/>
          <w:sz w:val="20"/>
          <w:szCs w:val="20"/>
        </w:rPr>
        <w:t xml:space="preserve">This is the risk associated with the issuer of a debenture/bond or a Money Market Instrument defaulting on coupon payments or in paying back the principal amount on maturity. Even when there is no default, the price of a security may change with expected changes in the credit rating of the issuer. It is to be noted here that a Government Security is a sovereign security and is the safest. Corporate bonds carry a higher amount of credit risk than Government Securities. Within corporate bonds also there are different levels of </w:t>
      </w:r>
      <w:proofErr w:type="gramStart"/>
      <w:r w:rsidRPr="00BA2938">
        <w:rPr>
          <w:rFonts w:ascii="Titillium Web" w:hAnsi="Titillium Web"/>
          <w:sz w:val="20"/>
          <w:szCs w:val="20"/>
        </w:rPr>
        <w:t>safety</w:t>
      </w:r>
      <w:proofErr w:type="gramEnd"/>
      <w:r w:rsidRPr="00BA2938">
        <w:rPr>
          <w:rFonts w:ascii="Titillium Web" w:hAnsi="Titillium Web"/>
          <w:sz w:val="20"/>
          <w:szCs w:val="20"/>
        </w:rPr>
        <w:t xml:space="preserve"> and a bond rated higher by a particular rating agency is safer than a bond rated lower by the same rating agency.</w:t>
      </w:r>
    </w:p>
    <w:p w14:paraId="00000514" w14:textId="77777777" w:rsidR="00546EC1" w:rsidRPr="00BA2938" w:rsidRDefault="00546EC1" w:rsidP="00BA2938">
      <w:pPr>
        <w:shd w:val="clear" w:color="auto" w:fill="FFFFFF"/>
        <w:spacing w:after="0" w:line="240" w:lineRule="auto"/>
        <w:jc w:val="both"/>
        <w:rPr>
          <w:rFonts w:ascii="Titillium Web" w:hAnsi="Titillium Web"/>
          <w:b/>
          <w:sz w:val="20"/>
          <w:szCs w:val="20"/>
        </w:rPr>
      </w:pPr>
    </w:p>
    <w:p w14:paraId="00000515"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b/>
          <w:sz w:val="20"/>
          <w:szCs w:val="20"/>
        </w:rPr>
        <w:t xml:space="preserve">Liquidity Risk on account of unlisted securities: </w:t>
      </w:r>
      <w:r w:rsidRPr="00BA2938">
        <w:rPr>
          <w:rFonts w:ascii="Titillium Web" w:hAnsi="Titillium Web"/>
          <w:sz w:val="20"/>
          <w:szCs w:val="20"/>
        </w:rPr>
        <w:t xml:space="preserve">The liquidity and valuation of the Scheme investments due to their holdings of unlisted securities may be affected if they </w:t>
      </w:r>
      <w:proofErr w:type="gramStart"/>
      <w:r w:rsidRPr="00BA2938">
        <w:rPr>
          <w:rFonts w:ascii="Titillium Web" w:hAnsi="Titillium Web"/>
          <w:sz w:val="20"/>
          <w:szCs w:val="20"/>
        </w:rPr>
        <w:t>have to</w:t>
      </w:r>
      <w:proofErr w:type="gramEnd"/>
      <w:r w:rsidRPr="00BA2938">
        <w:rPr>
          <w:rFonts w:ascii="Titillium Web" w:hAnsi="Titillium Web"/>
          <w:sz w:val="20"/>
          <w:szCs w:val="20"/>
        </w:rPr>
        <w:t xml:space="preserve"> be sold prior to their target date of divestment. The unlisted security can go down in value before the divestment date and selling of these securities before the divestment date can lead to losses in the portfolio.</w:t>
      </w:r>
    </w:p>
    <w:p w14:paraId="00000516"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17"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b/>
          <w:sz w:val="20"/>
          <w:szCs w:val="20"/>
        </w:rPr>
        <w:t xml:space="preserve">Settlement Risk: </w:t>
      </w:r>
      <w:r w:rsidRPr="00BA2938">
        <w:rPr>
          <w:rFonts w:ascii="Titillium Web" w:hAnsi="Titillium Web"/>
          <w:sz w:val="20"/>
          <w:szCs w:val="20"/>
        </w:rPr>
        <w:t>Fixed income securities run the risk of settlement which can adversely affect the ability of the fund house to swiftly execute trading strategies which can lead to adverse movements in NAV.</w:t>
      </w:r>
    </w:p>
    <w:p w14:paraId="00000518"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19" w14:textId="77777777" w:rsidR="00546EC1" w:rsidRPr="00BA2938" w:rsidRDefault="00000000" w:rsidP="00BA2938">
      <w:pPr>
        <w:shd w:val="clear" w:color="auto" w:fill="FFFFFF"/>
        <w:spacing w:after="0" w:line="240" w:lineRule="auto"/>
        <w:jc w:val="both"/>
        <w:rPr>
          <w:rFonts w:ascii="Titillium Web" w:hAnsi="Titillium Web"/>
          <w:b/>
          <w:sz w:val="20"/>
          <w:szCs w:val="20"/>
        </w:rPr>
      </w:pPr>
      <w:r w:rsidRPr="00BA2938">
        <w:rPr>
          <w:rFonts w:ascii="Titillium Web" w:hAnsi="Titillium Web"/>
          <w:b/>
          <w:sz w:val="20"/>
          <w:szCs w:val="20"/>
        </w:rPr>
        <w:t xml:space="preserve">Risks associated with investing in Tri-Party Repos Segments </w:t>
      </w:r>
    </w:p>
    <w:p w14:paraId="0000051A" w14:textId="77777777" w:rsidR="00546EC1" w:rsidRPr="00BA2938" w:rsidRDefault="00546EC1" w:rsidP="00BA2938">
      <w:pPr>
        <w:shd w:val="clear" w:color="auto" w:fill="FFFFFF"/>
        <w:spacing w:after="0" w:line="240" w:lineRule="auto"/>
        <w:jc w:val="both"/>
        <w:rPr>
          <w:rFonts w:ascii="Titillium Web" w:hAnsi="Titillium Web"/>
          <w:b/>
          <w:sz w:val="20"/>
          <w:szCs w:val="20"/>
        </w:rPr>
      </w:pPr>
    </w:p>
    <w:p w14:paraId="0000051B"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 xml:space="preserve">The mutual fund is a member of securities and Tri-Party Repos segments of the Clearing Corporation of India (CCIL). All transactions of the mutual fund in government securities and in Tri-Party Repos segments are settled centrally through the infrastructure and settlement systems provided by CCIL; </w:t>
      </w:r>
      <w:proofErr w:type="gramStart"/>
      <w:r w:rsidRPr="00BA2938">
        <w:rPr>
          <w:rFonts w:ascii="Titillium Web" w:hAnsi="Titillium Web"/>
          <w:sz w:val="20"/>
          <w:szCs w:val="20"/>
        </w:rPr>
        <w:t>thus</w:t>
      </w:r>
      <w:proofErr w:type="gramEnd"/>
      <w:r w:rsidRPr="00BA2938">
        <w:rPr>
          <w:rFonts w:ascii="Titillium Web" w:hAnsi="Titillium Web"/>
          <w:sz w:val="20"/>
          <w:szCs w:val="20"/>
        </w:rPr>
        <w:t xml:space="preserve"> reducing the settlement and counterparty risks considerably for transactions in the said segments. The members are required to contribute an amount as communicated by CCIL from time to time to the default fund maintained by CCIL as a part of the default waterfall (a loss mitigating measure of CCIL in case of default by any member in settling transactions routed through CCIL). The mutual fund is exposed to the extent of its contribution to the default fund of CCIL at any given point in time. In the event that the default waterfall is </w:t>
      </w:r>
      <w:proofErr w:type="gramStart"/>
      <w:r w:rsidRPr="00BA2938">
        <w:rPr>
          <w:rFonts w:ascii="Titillium Web" w:hAnsi="Titillium Web"/>
          <w:sz w:val="20"/>
          <w:szCs w:val="20"/>
        </w:rPr>
        <w:t>triggered</w:t>
      </w:r>
      <w:proofErr w:type="gramEnd"/>
      <w:r w:rsidRPr="00BA2938">
        <w:rPr>
          <w:rFonts w:ascii="Titillium Web" w:hAnsi="Titillium Web"/>
          <w:sz w:val="20"/>
          <w:szCs w:val="20"/>
        </w:rPr>
        <w:t xml:space="preserve"> and the contribution of the mutual fund is called upon to absorb settlement/default losses of another member by CCIL, the scheme may lose an amount equivalent to its contribution to the default fund allocated to the scheme on a pro-rata basis.</w:t>
      </w:r>
    </w:p>
    <w:p w14:paraId="0000051C"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1D" w14:textId="77777777" w:rsidR="00546EC1" w:rsidRPr="00BA2938" w:rsidRDefault="00000000" w:rsidP="00BA2938">
      <w:pPr>
        <w:shd w:val="clear" w:color="auto" w:fill="FFFFFF"/>
        <w:spacing w:after="0" w:line="240" w:lineRule="auto"/>
        <w:jc w:val="both"/>
        <w:rPr>
          <w:rFonts w:ascii="Titillium Web" w:hAnsi="Titillium Web"/>
          <w:b/>
          <w:sz w:val="20"/>
          <w:szCs w:val="20"/>
        </w:rPr>
      </w:pPr>
      <w:r w:rsidRPr="00BA2938">
        <w:rPr>
          <w:rFonts w:ascii="Titillium Web" w:hAnsi="Titillium Web"/>
          <w:b/>
          <w:sz w:val="20"/>
          <w:szCs w:val="20"/>
        </w:rPr>
        <w:t>Risk Factors Associated with investing in Foreign Securities:</w:t>
      </w:r>
    </w:p>
    <w:p w14:paraId="0000051E"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Subject to necessary approvals and within the investment objectives of the Scheme, the Scheme may invest in overseas markets which carry risks related to fluctuations in the foreign exchange rates, the nature of the securities market of the country, repatriation of capital due to exchange controls and</w:t>
      </w:r>
    </w:p>
    <w:p w14:paraId="0000051F"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political circumstances.</w:t>
      </w:r>
    </w:p>
    <w:p w14:paraId="00000520"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21"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lastRenderedPageBreak/>
        <w:t>To manage risks associated with foreign currency and interest rate exposure, the Fund may use derivatives for efficient portfolio management including hedging and in accordance with conditions as may be stipulated under the Regulations or by the RBI from time to time.</w:t>
      </w:r>
    </w:p>
    <w:p w14:paraId="00000522"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23"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 xml:space="preserve">Overseas investments will be made subject to any/all approvals, conditions thereof as may be stipulated under the Regulations or by RBI and provided such investments do not result in expenses to the Fund </w:t>
      </w:r>
      <w:proofErr w:type="gramStart"/>
      <w:r w:rsidRPr="00BA2938">
        <w:rPr>
          <w:rFonts w:ascii="Titillium Web" w:hAnsi="Titillium Web"/>
          <w:sz w:val="20"/>
          <w:szCs w:val="20"/>
        </w:rPr>
        <w:t>in excess of</w:t>
      </w:r>
      <w:proofErr w:type="gramEnd"/>
      <w:r w:rsidRPr="00BA2938">
        <w:rPr>
          <w:rFonts w:ascii="Titillium Web" w:hAnsi="Titillium Web"/>
          <w:sz w:val="20"/>
          <w:szCs w:val="20"/>
        </w:rPr>
        <w:t xml:space="preserve"> the ceiling on expenses prescribed by and consistent with costs and expenses attendant to</w:t>
      </w:r>
    </w:p>
    <w:p w14:paraId="00000524"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international investing.</w:t>
      </w:r>
    </w:p>
    <w:p w14:paraId="00000525"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26"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 xml:space="preserve">The Fund may, where necessary, appoint other intermediaries of repute as advisors, custodian/sub-custodians etc. for managing and administering such investments. The appointment of such intermediaries shall be in accordance with the applicable requirements of SEBI and within the permissible ceilings of expenses. The fees and expenses would illustratively include, besides the investment management fees, custody fees and costs, fees of appointed advisors and sub-managers, transaction costs and overseas regulatory costs. </w:t>
      </w:r>
    </w:p>
    <w:p w14:paraId="00000527"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28"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 xml:space="preserve">To the extent that the assets of the Scheme will be invested in securities denominated in foreign currencies, the Indian Rupee equivalent of the net assets, distributions and income may be </w:t>
      </w:r>
      <w:proofErr w:type="gramStart"/>
      <w:r w:rsidRPr="00BA2938">
        <w:rPr>
          <w:rFonts w:ascii="Titillium Web" w:hAnsi="Titillium Web"/>
          <w:sz w:val="20"/>
          <w:szCs w:val="20"/>
        </w:rPr>
        <w:t>adversely  affected</w:t>
      </w:r>
      <w:proofErr w:type="gramEnd"/>
      <w:r w:rsidRPr="00BA2938">
        <w:rPr>
          <w:rFonts w:ascii="Titillium Web" w:hAnsi="Titillium Web"/>
          <w:sz w:val="20"/>
          <w:szCs w:val="20"/>
        </w:rPr>
        <w:t xml:space="preserve"> by changes in the value of certain foreign currencies relative to the Indian Rupee. The repatriation of capital to India may also be hampered by changes in regulations concerning exchange controls or political circumstances as well as the application to it of other restrictions on investment.</w:t>
      </w:r>
    </w:p>
    <w:p w14:paraId="00000529" w14:textId="77777777" w:rsidR="00546EC1" w:rsidRPr="00BA2938" w:rsidRDefault="00546EC1" w:rsidP="00BA2938">
      <w:pPr>
        <w:shd w:val="clear" w:color="auto" w:fill="FFFFFF"/>
        <w:spacing w:after="0" w:line="240" w:lineRule="auto"/>
        <w:jc w:val="both"/>
        <w:rPr>
          <w:rFonts w:ascii="Titillium Web" w:hAnsi="Titillium Web"/>
          <w:b/>
          <w:sz w:val="20"/>
          <w:szCs w:val="20"/>
        </w:rPr>
      </w:pPr>
    </w:p>
    <w:p w14:paraId="0000052A"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b/>
          <w:sz w:val="20"/>
          <w:szCs w:val="20"/>
        </w:rPr>
        <w:t xml:space="preserve">Legal and Regulatory Risk </w:t>
      </w:r>
      <w:r w:rsidRPr="00BA2938">
        <w:rPr>
          <w:rFonts w:ascii="Titillium Web" w:hAnsi="Titillium Web"/>
          <w:sz w:val="20"/>
          <w:szCs w:val="20"/>
        </w:rPr>
        <w:t>- Legal and regulatory changes could occur during the term of the Scheme which may adversely affect it. If any of the laws and regulations currently in effect should change or any new laws or regulations should be enacted, the legal requirements to which the Scheme and the investors may be subject could differ materially from current requirements and may materially and adversely affect the Scheme and the investors. Legislation/ Regulatory guidelines could also be imposed retrospectively.</w:t>
      </w:r>
    </w:p>
    <w:p w14:paraId="0000052B" w14:textId="77777777" w:rsidR="00546EC1" w:rsidRPr="00BA2938" w:rsidRDefault="00546EC1" w:rsidP="00BA2938">
      <w:pPr>
        <w:shd w:val="clear" w:color="auto" w:fill="FFFFFF"/>
        <w:spacing w:after="0" w:line="240" w:lineRule="auto"/>
        <w:jc w:val="both"/>
        <w:rPr>
          <w:rFonts w:ascii="Titillium Web" w:hAnsi="Titillium Web"/>
          <w:b/>
          <w:sz w:val="20"/>
          <w:szCs w:val="20"/>
        </w:rPr>
      </w:pPr>
    </w:p>
    <w:p w14:paraId="0000052C"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b/>
          <w:sz w:val="20"/>
          <w:szCs w:val="20"/>
        </w:rPr>
        <w:t xml:space="preserve">Taxation Risk </w:t>
      </w:r>
      <w:r w:rsidRPr="00BA2938">
        <w:rPr>
          <w:rFonts w:ascii="Titillium Web" w:hAnsi="Titillium Web"/>
          <w:sz w:val="20"/>
          <w:szCs w:val="20"/>
        </w:rPr>
        <w:t>- Investment in Offshore Funds poses additional challenges based on the tax laws of each respective country or jurisdiction. The scheme may be subject to a higher level of taxes than originally anticipated and or dual taxation. The Scheme may be subject to withholding or other taxes on income and/or gains arising from its investment portfolio. Further, such investments are exposed to risks associated with the changing / evolving tax / regulatory regimes of all the countries where the Scheme invests. All these may entail a higher outgo to the Scheme by way of taxes, transaction costs, fees etc.</w:t>
      </w:r>
    </w:p>
    <w:p w14:paraId="0000052D" w14:textId="77777777" w:rsidR="00546EC1" w:rsidRPr="00BA2938" w:rsidRDefault="00000000" w:rsidP="00BA2938">
      <w:pPr>
        <w:shd w:val="clear" w:color="auto" w:fill="FFFFFF"/>
        <w:spacing w:after="0" w:line="240" w:lineRule="auto"/>
        <w:jc w:val="both"/>
        <w:rPr>
          <w:rFonts w:ascii="Titillium Web" w:hAnsi="Titillium Web"/>
          <w:sz w:val="20"/>
          <w:szCs w:val="20"/>
        </w:rPr>
      </w:pPr>
      <w:proofErr w:type="gramStart"/>
      <w:r w:rsidRPr="00BA2938">
        <w:rPr>
          <w:rFonts w:ascii="Titillium Web" w:hAnsi="Titillium Web"/>
          <w:sz w:val="20"/>
          <w:szCs w:val="20"/>
        </w:rPr>
        <w:t>thus</w:t>
      </w:r>
      <w:proofErr w:type="gramEnd"/>
      <w:r w:rsidRPr="00BA2938">
        <w:rPr>
          <w:rFonts w:ascii="Titillium Web" w:hAnsi="Titillium Web"/>
          <w:sz w:val="20"/>
          <w:szCs w:val="20"/>
        </w:rPr>
        <w:t xml:space="preserve"> adversely impacting its NAV; resulting in lower returns to an Investor.</w:t>
      </w:r>
    </w:p>
    <w:p w14:paraId="0000052E" w14:textId="77777777" w:rsidR="00546EC1" w:rsidRPr="00BA2938" w:rsidRDefault="00546EC1" w:rsidP="00BA2938">
      <w:pPr>
        <w:shd w:val="clear" w:color="auto" w:fill="FFFFFF"/>
        <w:spacing w:after="0" w:line="240" w:lineRule="auto"/>
        <w:jc w:val="both"/>
        <w:rPr>
          <w:rFonts w:ascii="Titillium Web" w:hAnsi="Titillium Web"/>
          <w:b/>
          <w:sz w:val="20"/>
          <w:szCs w:val="20"/>
        </w:rPr>
      </w:pPr>
    </w:p>
    <w:p w14:paraId="0000052F" w14:textId="77777777" w:rsidR="00546EC1" w:rsidRPr="00BA2938" w:rsidRDefault="00000000" w:rsidP="00BA2938">
      <w:pPr>
        <w:shd w:val="clear" w:color="auto" w:fill="FFFFFF"/>
        <w:spacing w:after="0" w:line="240" w:lineRule="auto"/>
        <w:jc w:val="both"/>
        <w:rPr>
          <w:rFonts w:ascii="Titillium Web" w:hAnsi="Titillium Web"/>
          <w:b/>
          <w:sz w:val="20"/>
          <w:szCs w:val="20"/>
        </w:rPr>
      </w:pPr>
      <w:r w:rsidRPr="00BA2938">
        <w:rPr>
          <w:rFonts w:ascii="Titillium Web" w:hAnsi="Titillium Web"/>
          <w:b/>
          <w:sz w:val="20"/>
          <w:szCs w:val="20"/>
        </w:rPr>
        <w:t xml:space="preserve">Risk Factors relating to Portfolio Rebalancing </w:t>
      </w:r>
    </w:p>
    <w:p w14:paraId="00000530" w14:textId="77777777" w:rsidR="00546EC1" w:rsidRPr="00BA2938" w:rsidRDefault="00546EC1" w:rsidP="00BA2938">
      <w:pPr>
        <w:shd w:val="clear" w:color="auto" w:fill="FFFFFF"/>
        <w:spacing w:after="0" w:line="240" w:lineRule="auto"/>
        <w:jc w:val="both"/>
        <w:rPr>
          <w:rFonts w:ascii="Titillium Web" w:hAnsi="Titillium Web"/>
          <w:b/>
          <w:sz w:val="20"/>
          <w:szCs w:val="20"/>
        </w:rPr>
      </w:pPr>
    </w:p>
    <w:p w14:paraId="00000531" w14:textId="77777777" w:rsidR="00546EC1" w:rsidRPr="00BA2938" w:rsidRDefault="00000000" w:rsidP="00BA2938">
      <w:pPr>
        <w:shd w:val="clear" w:color="auto" w:fill="FFFFFF"/>
        <w:spacing w:after="0" w:line="240" w:lineRule="auto"/>
        <w:jc w:val="both"/>
        <w:rPr>
          <w:rFonts w:ascii="Titillium Web" w:hAnsi="Titillium Web"/>
          <w:sz w:val="20"/>
          <w:szCs w:val="20"/>
        </w:rPr>
      </w:pPr>
      <w:proofErr w:type="gramStart"/>
      <w:r w:rsidRPr="00BA2938">
        <w:rPr>
          <w:rFonts w:ascii="Titillium Web" w:hAnsi="Titillium Web"/>
          <w:sz w:val="20"/>
          <w:szCs w:val="20"/>
        </w:rPr>
        <w:t>In the event that</w:t>
      </w:r>
      <w:proofErr w:type="gramEnd"/>
      <w:r w:rsidRPr="00BA2938">
        <w:rPr>
          <w:rFonts w:ascii="Titillium Web" w:hAnsi="Titillium Web"/>
          <w:sz w:val="20"/>
          <w:szCs w:val="20"/>
        </w:rPr>
        <w:t xml:space="preserve"> the asset allocation of the Scheme deviates from the ranges as provided in the asset allocation table in this SID, then the Fund Manager will rebalance the portfolio of the Scheme to the position indicated in the asset allocation table. However, if market conditions do not permit the Fund Manager to rebalance the </w:t>
      </w:r>
      <w:r w:rsidRPr="00BA2938">
        <w:rPr>
          <w:rFonts w:ascii="Titillium Web" w:hAnsi="Titillium Web"/>
          <w:sz w:val="20"/>
          <w:szCs w:val="20"/>
        </w:rPr>
        <w:lastRenderedPageBreak/>
        <w:t xml:space="preserve">portfolio of the Scheme beyond 7 </w:t>
      </w:r>
      <w:proofErr w:type="gramStart"/>
      <w:r w:rsidRPr="00BA2938">
        <w:rPr>
          <w:rFonts w:ascii="Titillium Web" w:hAnsi="Titillium Web"/>
          <w:sz w:val="20"/>
          <w:szCs w:val="20"/>
        </w:rPr>
        <w:t>days</w:t>
      </w:r>
      <w:proofErr w:type="gramEnd"/>
      <w:r w:rsidRPr="00BA2938">
        <w:rPr>
          <w:rFonts w:ascii="Titillium Web" w:hAnsi="Titillium Web"/>
          <w:sz w:val="20"/>
          <w:szCs w:val="20"/>
        </w:rPr>
        <w:t xml:space="preserve"> then the AMC would notify the Board of the Trustee Company and the Investment Committee of the AMC with appropriate justifications.</w:t>
      </w:r>
    </w:p>
    <w:p w14:paraId="00000532"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33" w14:textId="77777777" w:rsidR="00546EC1" w:rsidRPr="00BA2938" w:rsidRDefault="00000000" w:rsidP="00BA2938">
      <w:pPr>
        <w:shd w:val="clear" w:color="auto" w:fill="FFFFFF"/>
        <w:spacing w:after="0" w:line="240" w:lineRule="auto"/>
        <w:jc w:val="both"/>
        <w:rPr>
          <w:rFonts w:ascii="Titillium Web" w:hAnsi="Titillium Web"/>
          <w:b/>
          <w:sz w:val="20"/>
          <w:szCs w:val="20"/>
        </w:rPr>
      </w:pPr>
      <w:r w:rsidRPr="00BA2938">
        <w:rPr>
          <w:rFonts w:ascii="Titillium Web" w:hAnsi="Titillium Web"/>
          <w:b/>
          <w:sz w:val="20"/>
          <w:szCs w:val="20"/>
        </w:rPr>
        <w:t>Risk factor associated with segregated portfolio</w:t>
      </w:r>
    </w:p>
    <w:p w14:paraId="00000534" w14:textId="77777777" w:rsidR="00546EC1" w:rsidRPr="00BA2938" w:rsidRDefault="00546EC1" w:rsidP="00BA2938">
      <w:pPr>
        <w:shd w:val="clear" w:color="auto" w:fill="FFFFFF"/>
        <w:spacing w:after="0" w:line="240" w:lineRule="auto"/>
        <w:jc w:val="both"/>
        <w:rPr>
          <w:rFonts w:ascii="Titillium Web" w:hAnsi="Titillium Web"/>
          <w:b/>
          <w:sz w:val="20"/>
          <w:szCs w:val="20"/>
        </w:rPr>
      </w:pPr>
    </w:p>
    <w:p w14:paraId="00000535"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 xml:space="preserve">Investor holding units of segregated portfolio may </w:t>
      </w:r>
      <w:proofErr w:type="gramStart"/>
      <w:r w:rsidRPr="00BA2938">
        <w:rPr>
          <w:rFonts w:ascii="Titillium Web" w:hAnsi="Titillium Web"/>
          <w:sz w:val="20"/>
          <w:szCs w:val="20"/>
        </w:rPr>
        <w:t>not</w:t>
      </w:r>
      <w:proofErr w:type="gramEnd"/>
      <w:r w:rsidRPr="00BA2938">
        <w:rPr>
          <w:rFonts w:ascii="Titillium Web" w:hAnsi="Titillium Web"/>
          <w:sz w:val="20"/>
          <w:szCs w:val="20"/>
        </w:rPr>
        <w:t xml:space="preserve"> able to liquidate their holding till the time realisable value is recovered. </w:t>
      </w:r>
    </w:p>
    <w:p w14:paraId="00000536"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37"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Security comprising of segregated portfolio may realise lower value or may realise zero value. </w:t>
      </w:r>
    </w:p>
    <w:p w14:paraId="00000538"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39"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 xml:space="preserve">Listing of units of segregated portfolio in </w:t>
      </w:r>
      <w:proofErr w:type="spellStart"/>
      <w:r w:rsidRPr="00BA2938">
        <w:rPr>
          <w:rFonts w:ascii="Titillium Web" w:hAnsi="Titillium Web"/>
          <w:sz w:val="20"/>
          <w:szCs w:val="20"/>
        </w:rPr>
        <w:t>recognised</w:t>
      </w:r>
      <w:proofErr w:type="spellEnd"/>
      <w:r w:rsidRPr="00BA2938">
        <w:rPr>
          <w:rFonts w:ascii="Titillium Web" w:hAnsi="Titillium Web"/>
          <w:sz w:val="20"/>
          <w:szCs w:val="20"/>
        </w:rPr>
        <w:t xml:space="preserve"> stock exchange does not necessarily guarantee their liquidity. There may not be active trading of units in the stock market. Further trading price of units on the stock market may be significantly lower than the prevailing NAV.   </w:t>
      </w:r>
    </w:p>
    <w:p w14:paraId="0000053A"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3B" w14:textId="77777777" w:rsidR="00546EC1" w:rsidRPr="00BA2938" w:rsidRDefault="00000000" w:rsidP="00BA2938">
      <w:pPr>
        <w:shd w:val="clear" w:color="auto" w:fill="FFFFFF"/>
        <w:spacing w:after="0" w:line="240" w:lineRule="auto"/>
        <w:jc w:val="both"/>
        <w:rPr>
          <w:rFonts w:ascii="Titillium Web" w:hAnsi="Titillium Web"/>
          <w:b/>
          <w:sz w:val="20"/>
          <w:szCs w:val="20"/>
        </w:rPr>
      </w:pPr>
      <w:r w:rsidRPr="00BA2938">
        <w:rPr>
          <w:rFonts w:ascii="Titillium Web" w:hAnsi="Titillium Web"/>
          <w:b/>
          <w:sz w:val="20"/>
          <w:szCs w:val="20"/>
        </w:rPr>
        <w:t>Risks factors associated with investments in Repo Transactions in Corporate Bond:</w:t>
      </w:r>
    </w:p>
    <w:p w14:paraId="0000053C"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sz w:val="20"/>
          <w:szCs w:val="20"/>
        </w:rPr>
        <w:t xml:space="preserve">In repo transactions, securities are sold with the seller agreeing to buy them back at later date. The repurchase price should be greater than the original sale price, the difference effectively representing interest. A repo is economically </w:t>
      </w:r>
      <w:proofErr w:type="gramStart"/>
      <w:r w:rsidRPr="00BA2938">
        <w:rPr>
          <w:rFonts w:ascii="Titillium Web" w:hAnsi="Titillium Web"/>
          <w:sz w:val="20"/>
          <w:szCs w:val="20"/>
        </w:rPr>
        <w:t>similar to</w:t>
      </w:r>
      <w:proofErr w:type="gramEnd"/>
      <w:r w:rsidRPr="00BA2938">
        <w:rPr>
          <w:rFonts w:ascii="Titillium Web" w:hAnsi="Titillium Web"/>
          <w:sz w:val="20"/>
          <w:szCs w:val="20"/>
        </w:rPr>
        <w:t xml:space="preserve"> a secured loan, with the buyer receiving corporate debt securities as collateral to protect against default. The Scheme may invest in repo of corporate debt securities which are subject to the following risks:</w:t>
      </w:r>
    </w:p>
    <w:p w14:paraId="0000053D"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3E"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b/>
          <w:sz w:val="20"/>
          <w:szCs w:val="20"/>
        </w:rPr>
        <w:t xml:space="preserve">Counter party Risk: </w:t>
      </w:r>
      <w:r w:rsidRPr="00BA2938">
        <w:rPr>
          <w:rFonts w:ascii="Titillium Web" w:hAnsi="Titillium Web"/>
          <w:sz w:val="20"/>
          <w:szCs w:val="20"/>
        </w:rPr>
        <w:t xml:space="preserve">This refers to the inability of the seller to meet the obligation to buy back securities at the contracted price on the contracted date. The Investment Manager will endeavour to manage counterparty risk by dealing only with counterparties, having strong credit profiles, approved by our credit risk analysis team. The exposure to each counterparty will be within the overall approved credit limits. Also, the counterparty risk is to an extent mitigated by taking collateral equivalent in value to the transaction after knocking off a minimum haircut on the intrinsic value of the collateral. In the event of default by the repo counterparty, the scheme shall have recourse to the corporate debt securities. </w:t>
      </w:r>
    </w:p>
    <w:p w14:paraId="0000053F"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40" w14:textId="77777777" w:rsidR="00546EC1" w:rsidRPr="00BA2938" w:rsidRDefault="00000000" w:rsidP="00BA2938">
      <w:pPr>
        <w:shd w:val="clear" w:color="auto" w:fill="FFFFFF"/>
        <w:spacing w:after="0" w:line="240" w:lineRule="auto"/>
        <w:jc w:val="both"/>
        <w:rPr>
          <w:rFonts w:ascii="Titillium Web" w:hAnsi="Titillium Web"/>
          <w:sz w:val="20"/>
          <w:szCs w:val="20"/>
        </w:rPr>
      </w:pPr>
      <w:r w:rsidRPr="00BA2938">
        <w:rPr>
          <w:rFonts w:ascii="Titillium Web" w:hAnsi="Titillium Web"/>
          <w:b/>
          <w:sz w:val="20"/>
          <w:szCs w:val="20"/>
        </w:rPr>
        <w:t xml:space="preserve">Collateral Risk: </w:t>
      </w:r>
      <w:r w:rsidRPr="00BA2938">
        <w:rPr>
          <w:rFonts w:ascii="Titillium Web" w:hAnsi="Titillium Web"/>
          <w:sz w:val="20"/>
          <w:szCs w:val="20"/>
        </w:rPr>
        <w:t xml:space="preserve">Collateral risk arises when the market value of the securities is inadequate to meet the repo obligations. This risk is mitigated by restricting participation in repo transactions only in AA or equivalent and above rated money market and corporate debt securities. Any rating downgrade </w:t>
      </w:r>
      <w:proofErr w:type="gramStart"/>
      <w:r w:rsidRPr="00BA2938">
        <w:rPr>
          <w:rFonts w:ascii="Titillium Web" w:hAnsi="Titillium Web"/>
          <w:sz w:val="20"/>
          <w:szCs w:val="20"/>
        </w:rPr>
        <w:t>will</w:t>
      </w:r>
      <w:proofErr w:type="gramEnd"/>
      <w:r w:rsidRPr="00BA2938">
        <w:rPr>
          <w:rFonts w:ascii="Titillium Web" w:hAnsi="Titillium Web"/>
          <w:sz w:val="20"/>
          <w:szCs w:val="20"/>
        </w:rPr>
        <w:t xml:space="preserve"> tantamount to either an early termination of the repo agreement or a call for fresh margin to meet the minimum haircut requirement. In addition, the Investment manager may apply a higher haircut on the underlying security than mentioned above to adjust for the illiquidity and interest rate risk on the underlying instrument. The adequacy of the collateral will be monitored </w:t>
      </w:r>
      <w:proofErr w:type="gramStart"/>
      <w:r w:rsidRPr="00BA2938">
        <w:rPr>
          <w:rFonts w:ascii="Titillium Web" w:hAnsi="Titillium Web"/>
          <w:sz w:val="20"/>
          <w:szCs w:val="20"/>
        </w:rPr>
        <w:t>on a daily basis</w:t>
      </w:r>
      <w:proofErr w:type="gramEnd"/>
      <w:r w:rsidRPr="00BA2938">
        <w:rPr>
          <w:rFonts w:ascii="Titillium Web" w:hAnsi="Titillium Web"/>
          <w:sz w:val="20"/>
          <w:szCs w:val="20"/>
        </w:rPr>
        <w:t xml:space="preserve"> by considering the daily market value &amp; applying the prescribed haircut. The fund manager shall then arrange for additional collateral from the counterparty, within a period of 1 business day. If the counterparty is not able to top-up either in form of cash / collateral, it </w:t>
      </w:r>
      <w:proofErr w:type="gramStart"/>
      <w:r w:rsidRPr="00BA2938">
        <w:rPr>
          <w:rFonts w:ascii="Titillium Web" w:hAnsi="Titillium Web"/>
          <w:sz w:val="20"/>
          <w:szCs w:val="20"/>
        </w:rPr>
        <w:t>shall</w:t>
      </w:r>
      <w:proofErr w:type="gramEnd"/>
      <w:r w:rsidRPr="00BA2938">
        <w:rPr>
          <w:rFonts w:ascii="Titillium Web" w:hAnsi="Titillium Web"/>
          <w:sz w:val="20"/>
          <w:szCs w:val="20"/>
        </w:rPr>
        <w:t xml:space="preserve"> tantamount to early termination of the repo agreement.</w:t>
      </w:r>
    </w:p>
    <w:p w14:paraId="00000541" w14:textId="77777777" w:rsidR="00546EC1" w:rsidRPr="00BA2938" w:rsidRDefault="00546EC1" w:rsidP="00BA2938">
      <w:pPr>
        <w:shd w:val="clear" w:color="auto" w:fill="FFFFFF"/>
        <w:spacing w:after="0" w:line="240" w:lineRule="auto"/>
        <w:jc w:val="both"/>
        <w:rPr>
          <w:rFonts w:ascii="Titillium Web" w:hAnsi="Titillium Web"/>
          <w:sz w:val="20"/>
          <w:szCs w:val="20"/>
        </w:rPr>
      </w:pPr>
    </w:p>
    <w:p w14:paraId="00000542" w14:textId="77777777" w:rsidR="00546EC1" w:rsidRPr="00BA2938" w:rsidRDefault="00000000" w:rsidP="00BA2938">
      <w:pPr>
        <w:pStyle w:val="Heading2"/>
        <w:spacing w:before="0" w:line="240" w:lineRule="auto"/>
        <w:jc w:val="both"/>
        <w:rPr>
          <w:rFonts w:ascii="Titillium Web" w:eastAsia="Calibri" w:hAnsi="Titillium Web" w:cs="Calibri"/>
          <w:b/>
          <w:color w:val="000000"/>
          <w:sz w:val="20"/>
          <w:szCs w:val="20"/>
        </w:rPr>
      </w:pPr>
      <w:bookmarkStart w:id="37" w:name="_heading=h.cd7jo1b8eh1l" w:colFirst="0" w:colLast="0"/>
      <w:bookmarkEnd w:id="37"/>
      <w:r w:rsidRPr="00BA2938">
        <w:rPr>
          <w:rFonts w:ascii="Titillium Web" w:eastAsia="Calibri" w:hAnsi="Titillium Web" w:cs="Calibri"/>
          <w:b/>
          <w:color w:val="000000"/>
          <w:sz w:val="20"/>
          <w:szCs w:val="20"/>
        </w:rPr>
        <w:lastRenderedPageBreak/>
        <w:t>Risk Mitigation Process:</w:t>
      </w:r>
    </w:p>
    <w:p w14:paraId="00000543" w14:textId="77777777" w:rsidR="00546EC1" w:rsidRPr="00BA2938" w:rsidRDefault="00546EC1" w:rsidP="00BA2938">
      <w:pPr>
        <w:spacing w:after="0" w:line="240" w:lineRule="auto"/>
        <w:jc w:val="both"/>
        <w:rPr>
          <w:rFonts w:ascii="Titillium Web" w:hAnsi="Titillium Web"/>
          <w:b/>
          <w:sz w:val="20"/>
          <w:szCs w:val="20"/>
        </w:rPr>
      </w:pPr>
    </w:p>
    <w:p w14:paraId="00000544" w14:textId="77777777" w:rsidR="00546EC1" w:rsidRPr="00BA2938" w:rsidRDefault="00000000" w:rsidP="00BA2938">
      <w:pPr>
        <w:pBdr>
          <w:top w:val="nil"/>
          <w:left w:val="nil"/>
          <w:bottom w:val="nil"/>
          <w:right w:val="nil"/>
          <w:between w:val="nil"/>
        </w:pBdr>
        <w:spacing w:after="0" w:line="240" w:lineRule="auto"/>
        <w:jc w:val="both"/>
        <w:rPr>
          <w:rFonts w:ascii="Titillium Web" w:hAnsi="Titillium Web"/>
          <w:color w:val="000000"/>
          <w:sz w:val="20"/>
          <w:szCs w:val="20"/>
        </w:rPr>
      </w:pPr>
      <w:r w:rsidRPr="00BA2938">
        <w:rPr>
          <w:rFonts w:ascii="Titillium Web" w:hAnsi="Titillium Web"/>
          <w:color w:val="000000"/>
          <w:sz w:val="20"/>
          <w:szCs w:val="20"/>
        </w:rPr>
        <w:t xml:space="preserve">Risk is an inherent part of the investment function. Effective Risk management is critical to fund management for achieving financial soundness. Investment by the Scheme would be made as per the investment objective of the Scheme and in accordance with SEBI Regulations. AMC has adequate safeguards to manage risk in the portfolio construction process. Risk control would involve managing risk </w:t>
      </w:r>
      <w:proofErr w:type="gramStart"/>
      <w:r w:rsidRPr="00BA2938">
        <w:rPr>
          <w:rFonts w:ascii="Titillium Web" w:hAnsi="Titillium Web"/>
          <w:color w:val="000000"/>
          <w:sz w:val="20"/>
          <w:szCs w:val="20"/>
        </w:rPr>
        <w:t>in order to</w:t>
      </w:r>
      <w:proofErr w:type="gramEnd"/>
      <w:r w:rsidRPr="00BA2938">
        <w:rPr>
          <w:rFonts w:ascii="Titillium Web" w:hAnsi="Titillium Web"/>
          <w:color w:val="000000"/>
          <w:sz w:val="20"/>
          <w:szCs w:val="20"/>
        </w:rPr>
        <w:t xml:space="preserve"> keep in line with the investment objective of the Scheme. The risk control process would include identifying the risk and taking proper measures for the same. The system has incorporated all the investment restrictions as per the SEBI guidelines and enables identifying and measuring the risk through various risk management tools like various portfolio analytics, risk ratios, average duration and analyses the same and acts in a preventive manner.</w:t>
      </w:r>
    </w:p>
    <w:p w14:paraId="00000545" w14:textId="77777777" w:rsidR="00546EC1" w:rsidRPr="00BA2938" w:rsidRDefault="00546EC1" w:rsidP="00BA2938">
      <w:pPr>
        <w:spacing w:after="0" w:line="240" w:lineRule="auto"/>
        <w:jc w:val="both"/>
        <w:rPr>
          <w:rFonts w:ascii="Titillium Web" w:hAnsi="Titillium Web"/>
          <w:sz w:val="20"/>
          <w:szCs w:val="20"/>
        </w:rPr>
      </w:pPr>
    </w:p>
    <w:p w14:paraId="00000546" w14:textId="77777777" w:rsidR="00546EC1" w:rsidRPr="00BA2938" w:rsidRDefault="00546EC1" w:rsidP="00BA2938">
      <w:pPr>
        <w:spacing w:after="0" w:line="240" w:lineRule="auto"/>
        <w:jc w:val="both"/>
        <w:rPr>
          <w:rFonts w:ascii="Titillium Web" w:hAnsi="Titillium Web"/>
          <w:sz w:val="20"/>
          <w:szCs w:val="20"/>
        </w:rPr>
      </w:pPr>
    </w:p>
    <w:p w14:paraId="00000547" w14:textId="77777777" w:rsidR="00546EC1" w:rsidRPr="00BA2938" w:rsidRDefault="00546EC1" w:rsidP="00BA2938">
      <w:pPr>
        <w:pStyle w:val="Heading1"/>
        <w:spacing w:before="0" w:line="240" w:lineRule="auto"/>
        <w:jc w:val="both"/>
        <w:rPr>
          <w:rFonts w:ascii="Titillium Web" w:eastAsia="Calibri" w:hAnsi="Titillium Web" w:cs="Calibri"/>
          <w:color w:val="000000"/>
          <w:sz w:val="20"/>
          <w:szCs w:val="20"/>
        </w:rPr>
      </w:pPr>
    </w:p>
    <w:sectPr w:rsidR="00546EC1" w:rsidRPr="00BA2938">
      <w:headerReference w:type="default" r:id="rId12"/>
      <w:footerReference w:type="default" r:id="rId13"/>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3" w:author="SV_MCA" w:date="2025-05-15T17:04:00Z" w:initials="">
    <w:p w14:paraId="0000054B" w14:textId="77777777" w:rsidR="00546EC1"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Navi to provide word file.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54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54B" w16cid:durableId="000005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D8BE0" w14:textId="77777777" w:rsidR="00074712" w:rsidRDefault="00074712">
      <w:pPr>
        <w:spacing w:after="0" w:line="240" w:lineRule="auto"/>
      </w:pPr>
      <w:r>
        <w:separator/>
      </w:r>
    </w:p>
  </w:endnote>
  <w:endnote w:type="continuationSeparator" w:id="0">
    <w:p w14:paraId="2CE20C6D" w14:textId="77777777" w:rsidR="00074712" w:rsidRDefault="00074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EDEF1C6E-3D77-C144-87D8-7AC73E8ACBC4}"/>
  </w:font>
  <w:font w:name="Courier New">
    <w:panose1 w:val="02070309020205020404"/>
    <w:charset w:val="00"/>
    <w:family w:val="modern"/>
    <w:pitch w:val="fixed"/>
    <w:sig w:usb0="E0002AFF" w:usb1="C0007843" w:usb2="00000009" w:usb3="00000000" w:csb0="000001FF" w:csb1="00000000"/>
    <w:embedRegular r:id="rId2" w:fontKey="{3F189F9C-B3D9-7B49-A79E-8232F7001BB6}"/>
  </w:font>
  <w:font w:name="Calibri">
    <w:panose1 w:val="020F0502020204030204"/>
    <w:charset w:val="00"/>
    <w:family w:val="swiss"/>
    <w:pitch w:val="variable"/>
    <w:sig w:usb0="E0002AFF" w:usb1="C000247B" w:usb2="00000009" w:usb3="00000000" w:csb0="000001FF" w:csb1="00000000"/>
    <w:embedRegular r:id="rId3" w:fontKey="{F3DA7FBD-A7BA-FE43-96CF-D3E01092CC48}"/>
    <w:embedBold r:id="rId4" w:fontKey="{9A836B76-6B3E-ED43-9A27-E4CE0DCC7051}"/>
  </w:font>
  <w:font w:name="Calibri Light">
    <w:panose1 w:val="020F0302020204030204"/>
    <w:charset w:val="00"/>
    <w:family w:val="swiss"/>
    <w:pitch w:val="variable"/>
    <w:sig w:usb0="E0002AFF" w:usb1="C000247B" w:usb2="00000009" w:usb3="00000000" w:csb0="000001FF" w:csb1="00000000"/>
    <w:embedRegular r:id="rId5" w:fontKey="{4EE69995-1E3E-1541-8DD6-98E4D7656B0B}"/>
  </w:font>
  <w:font w:name="Times New Roman">
    <w:altName w:val="Times New Roman"/>
    <w:panose1 w:val="02020603050405020304"/>
    <w:charset w:val="00"/>
    <w:family w:val="roman"/>
    <w:pitch w:val="variable"/>
    <w:sig w:usb0="E0002EFF" w:usb1="C000785B" w:usb2="00000009" w:usb3="00000000" w:csb0="000001FF" w:csb1="00000000"/>
    <w:embedRegular r:id="rId6" w:fontKey="{C6D8703B-B760-8047-8834-C99F89A39AF3}"/>
    <w:embedBold r:id="rId7" w:fontKey="{FA55EE08-4259-3B48-9AA6-701E8B0B1E38}"/>
  </w:font>
  <w:font w:name="Segoe UI">
    <w:panose1 w:val="020B0502040204020203"/>
    <w:charset w:val="00"/>
    <w:family w:val="swiss"/>
    <w:pitch w:val="variable"/>
    <w:sig w:usb0="E4002EFF" w:usb1="C000E47F" w:usb2="00000009" w:usb3="00000000" w:csb0="000001FF" w:csb1="00000000"/>
    <w:embedRegular r:id="rId8" w:fontKey="{B9167523-D25B-F54C-B322-8B4FC5DFBDFC}"/>
  </w:font>
  <w:font w:name="Georgia">
    <w:panose1 w:val="02040502050405020303"/>
    <w:charset w:val="00"/>
    <w:family w:val="roman"/>
    <w:pitch w:val="variable"/>
    <w:sig w:usb0="00000287" w:usb1="00000000" w:usb2="00000000" w:usb3="00000000" w:csb0="0000009F" w:csb1="00000000"/>
    <w:embedRegular r:id="rId9" w:fontKey="{8144E539-6720-084D-8042-124000B3056D}"/>
    <w:embedItalic r:id="rId10" w:fontKey="{AECDF897-5A5D-F746-85C4-ACC0D7408306}"/>
  </w:font>
  <w:font w:name="Titillium Web">
    <w:panose1 w:val="00000500000000000000"/>
    <w:charset w:val="4D"/>
    <w:family w:val="auto"/>
    <w:pitch w:val="variable"/>
    <w:sig w:usb0="00000007" w:usb1="00000001" w:usb2="00000000" w:usb3="00000000" w:csb0="00000093" w:csb1="00000000"/>
    <w:embedRegular r:id="rId11" w:fontKey="{454AF24B-E3DE-FE4D-8BB8-50C53929BD26}"/>
    <w:embedBold r:id="rId12" w:fontKey="{ABCCF341-CEB2-824A-AAF2-FB285ADD5656}"/>
  </w:font>
  <w:font w:name="Arial">
    <w:panose1 w:val="020B0604020202020204"/>
    <w:charset w:val="00"/>
    <w:family w:val="swiss"/>
    <w:pitch w:val="variable"/>
    <w:sig w:usb0="E0002AFF" w:usb1="C0007843" w:usb2="00000009" w:usb3="00000000" w:csb0="000001FF" w:csb1="00000000"/>
    <w:embedRegular r:id="rId13" w:fontKey="{A02FC412-E792-DB43-8A8C-DF7B7072BC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49" w14:textId="7E817CAD" w:rsidR="00546EC1"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BA2938">
      <w:rPr>
        <w:noProof/>
        <w:color w:val="000000"/>
      </w:rPr>
      <w:t>1</w:t>
    </w:r>
    <w:r>
      <w:rPr>
        <w:color w:val="000000"/>
      </w:rPr>
      <w:fldChar w:fldCharType="end"/>
    </w:r>
  </w:p>
  <w:p w14:paraId="0000054A" w14:textId="77777777" w:rsidR="00546EC1" w:rsidRDefault="00546EC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BCE20" w14:textId="77777777" w:rsidR="00074712" w:rsidRDefault="00074712">
      <w:pPr>
        <w:spacing w:after="0" w:line="240" w:lineRule="auto"/>
      </w:pPr>
      <w:r>
        <w:separator/>
      </w:r>
    </w:p>
  </w:footnote>
  <w:footnote w:type="continuationSeparator" w:id="0">
    <w:p w14:paraId="58EBCAFB" w14:textId="77777777" w:rsidR="00074712" w:rsidRDefault="000747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48" w14:textId="229238DF" w:rsidR="00546EC1" w:rsidRDefault="00BA2938">
    <w:pPr>
      <w:pBdr>
        <w:top w:val="nil"/>
        <w:left w:val="nil"/>
        <w:bottom w:val="nil"/>
        <w:right w:val="nil"/>
        <w:between w:val="nil"/>
      </w:pBdr>
      <w:tabs>
        <w:tab w:val="center" w:pos="4680"/>
        <w:tab w:val="right" w:pos="9360"/>
      </w:tabs>
      <w:spacing w:after="0" w:line="240" w:lineRule="auto"/>
      <w:rPr>
        <w:color w:val="000000"/>
      </w:rPr>
    </w:pPr>
    <w:r>
      <w:rPr>
        <w:bdr w:val="none" w:sz="0" w:space="0" w:color="auto" w:frame="1"/>
      </w:rPr>
      <w:fldChar w:fldCharType="begin"/>
    </w:r>
    <w:r>
      <w:rPr>
        <w:bdr w:val="none" w:sz="0" w:space="0" w:color="auto" w:frame="1"/>
      </w:rPr>
      <w:instrText xml:space="preserve"> INCLUDEPICTURE "https://lh7-rt.googleusercontent.com/docsz/AD_4nXdW3K1_x5l9ibWxY1VHZ-LECmzVRt4VPk38HUzWSfMGaQI4u0Fj6Gn1RWLp9mUptZIwIlvg7EiMjwzI5DkpChpFDf7pXhyVaSmFd6FTdZMf8h-R_YPQvJ1x8PnAn0M_fsRutrTqSXHyK2DfciZ0W0deAB9cUE6c5D3g8YleUGg6Fhr-4oNIPw?key=BvCSDZXbD8aLjDhqWNKTzg" \* MERGEFORMATINET </w:instrText>
    </w:r>
    <w:r>
      <w:rPr>
        <w:bdr w:val="none" w:sz="0" w:space="0" w:color="auto" w:frame="1"/>
      </w:rPr>
      <w:fldChar w:fldCharType="separate"/>
    </w:r>
    <w:r>
      <w:rPr>
        <w:noProof/>
        <w:bdr w:val="none" w:sz="0" w:space="0" w:color="auto" w:frame="1"/>
      </w:rPr>
      <w:drawing>
        <wp:inline distT="0" distB="0" distL="0" distR="0" wp14:anchorId="3DAA979F" wp14:editId="0BD6ED93">
          <wp:extent cx="5943600" cy="737870"/>
          <wp:effectExtent l="0" t="0" r="0" b="0"/>
          <wp:docPr id="769930492" name="Picture 1" descr="A white background with black and white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30492" name="Picture 1" descr="A white background with black and white cloud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37870"/>
                  </a:xfrm>
                  <a:prstGeom prst="rect">
                    <a:avLst/>
                  </a:prstGeom>
                  <a:noFill/>
                  <a:ln>
                    <a:noFill/>
                  </a:ln>
                </pic:spPr>
              </pic:pic>
            </a:graphicData>
          </a:graphic>
        </wp:inline>
      </w:drawing>
    </w:r>
    <w:r>
      <w:rPr>
        <w:bdr w:val="none" w:sz="0" w:space="0" w:color="auto" w:frame="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76F4F"/>
    <w:multiLevelType w:val="multilevel"/>
    <w:tmpl w:val="F1840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7A42B1"/>
    <w:multiLevelType w:val="multilevel"/>
    <w:tmpl w:val="7D68A2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093400"/>
    <w:multiLevelType w:val="multilevel"/>
    <w:tmpl w:val="233068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9C618D0"/>
    <w:multiLevelType w:val="multilevel"/>
    <w:tmpl w:val="3286A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3585816"/>
    <w:multiLevelType w:val="multilevel"/>
    <w:tmpl w:val="1E748D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64747BB"/>
    <w:multiLevelType w:val="multilevel"/>
    <w:tmpl w:val="1B98EE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A8C5803"/>
    <w:multiLevelType w:val="multilevel"/>
    <w:tmpl w:val="509CF2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BE02CBE"/>
    <w:multiLevelType w:val="multilevel"/>
    <w:tmpl w:val="4F108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C644B53"/>
    <w:multiLevelType w:val="multilevel"/>
    <w:tmpl w:val="0144CE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D422C45"/>
    <w:multiLevelType w:val="multilevel"/>
    <w:tmpl w:val="03A89DA2"/>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16cid:durableId="1199197977">
    <w:abstractNumId w:val="0"/>
  </w:num>
  <w:num w:numId="2" w16cid:durableId="777214568">
    <w:abstractNumId w:val="5"/>
  </w:num>
  <w:num w:numId="3" w16cid:durableId="1011569635">
    <w:abstractNumId w:val="6"/>
  </w:num>
  <w:num w:numId="4" w16cid:durableId="62684605">
    <w:abstractNumId w:val="3"/>
  </w:num>
  <w:num w:numId="5" w16cid:durableId="753745569">
    <w:abstractNumId w:val="8"/>
  </w:num>
  <w:num w:numId="6" w16cid:durableId="124391895">
    <w:abstractNumId w:val="9"/>
  </w:num>
  <w:num w:numId="7" w16cid:durableId="283119943">
    <w:abstractNumId w:val="7"/>
  </w:num>
  <w:num w:numId="8" w16cid:durableId="1006059101">
    <w:abstractNumId w:val="2"/>
  </w:num>
  <w:num w:numId="9" w16cid:durableId="289092713">
    <w:abstractNumId w:val="1"/>
  </w:num>
  <w:num w:numId="10" w16cid:durableId="132851022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V_MCA">
    <w15:presenceInfo w15:providerId="None" w15:userId="SV_M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EC1"/>
    <w:rsid w:val="00074712"/>
    <w:rsid w:val="002E546D"/>
    <w:rsid w:val="002E6533"/>
    <w:rsid w:val="00546EC1"/>
    <w:rsid w:val="00560977"/>
    <w:rsid w:val="00644533"/>
    <w:rsid w:val="00A55426"/>
    <w:rsid w:val="00B03E6B"/>
    <w:rsid w:val="00BA2938"/>
    <w:rsid w:val="00C30586"/>
    <w:rsid w:val="00DC7F05"/>
    <w:rsid w:val="00EA5ABC"/>
    <w:rsid w:val="00F136EE"/>
    <w:rsid w:val="00FA1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C58F02"/>
  <w15:docId w15:val="{1CBADC0A-9145-894A-8CFF-32859EA90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36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E363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823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6D7"/>
  </w:style>
  <w:style w:type="paragraph" w:styleId="Footer">
    <w:name w:val="footer"/>
    <w:basedOn w:val="Normal"/>
    <w:link w:val="FooterChar"/>
    <w:uiPriority w:val="99"/>
    <w:unhideWhenUsed/>
    <w:rsid w:val="00823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6D7"/>
  </w:style>
  <w:style w:type="character" w:customStyle="1" w:styleId="Heading1Char">
    <w:name w:val="Heading 1 Char"/>
    <w:basedOn w:val="DefaultParagraphFont"/>
    <w:link w:val="Heading1"/>
    <w:uiPriority w:val="9"/>
    <w:rsid w:val="00DE363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E3631"/>
    <w:rPr>
      <w:rFonts w:asciiTheme="majorHAnsi" w:eastAsiaTheme="majorEastAsia" w:hAnsiTheme="majorHAnsi" w:cstheme="majorBidi"/>
      <w:color w:val="2E74B5" w:themeColor="accent1" w:themeShade="BF"/>
      <w:sz w:val="26"/>
      <w:szCs w:val="26"/>
    </w:rPr>
  </w:style>
  <w:style w:type="paragraph" w:styleId="ListParagraph">
    <w:name w:val="List Paragraph"/>
    <w:aliases w:val="SD JURIDIQUE TITRE 5"/>
    <w:basedOn w:val="Normal"/>
    <w:link w:val="ListParagraphChar"/>
    <w:uiPriority w:val="34"/>
    <w:qFormat/>
    <w:rsid w:val="00DE3631"/>
    <w:pPr>
      <w:ind w:left="720"/>
      <w:contextualSpacing/>
    </w:pPr>
    <w:rPr>
      <w:lang w:val="en-IN"/>
    </w:rPr>
  </w:style>
  <w:style w:type="character" w:customStyle="1" w:styleId="ListParagraphChar">
    <w:name w:val="List Paragraph Char"/>
    <w:aliases w:val="SD JURIDIQUE TITRE 5 Char"/>
    <w:link w:val="ListParagraph"/>
    <w:uiPriority w:val="34"/>
    <w:locked/>
    <w:rsid w:val="00DE3631"/>
    <w:rPr>
      <w:lang w:val="en-IN"/>
    </w:rPr>
  </w:style>
  <w:style w:type="character" w:styleId="CommentReference">
    <w:name w:val="annotation reference"/>
    <w:basedOn w:val="DefaultParagraphFont"/>
    <w:uiPriority w:val="99"/>
    <w:semiHidden/>
    <w:unhideWhenUsed/>
    <w:rsid w:val="00607B1B"/>
    <w:rPr>
      <w:sz w:val="16"/>
      <w:szCs w:val="16"/>
    </w:rPr>
  </w:style>
  <w:style w:type="paragraph" w:styleId="CommentText">
    <w:name w:val="annotation text"/>
    <w:basedOn w:val="Normal"/>
    <w:link w:val="CommentTextChar"/>
    <w:uiPriority w:val="99"/>
    <w:semiHidden/>
    <w:unhideWhenUsed/>
    <w:rsid w:val="00607B1B"/>
    <w:pPr>
      <w:spacing w:line="240" w:lineRule="auto"/>
    </w:pPr>
    <w:rPr>
      <w:sz w:val="20"/>
      <w:szCs w:val="20"/>
    </w:rPr>
  </w:style>
  <w:style w:type="character" w:customStyle="1" w:styleId="CommentTextChar">
    <w:name w:val="Comment Text Char"/>
    <w:basedOn w:val="DefaultParagraphFont"/>
    <w:link w:val="CommentText"/>
    <w:uiPriority w:val="99"/>
    <w:semiHidden/>
    <w:rsid w:val="00607B1B"/>
    <w:rPr>
      <w:sz w:val="20"/>
      <w:szCs w:val="20"/>
    </w:rPr>
  </w:style>
  <w:style w:type="paragraph" w:styleId="CommentSubject">
    <w:name w:val="annotation subject"/>
    <w:basedOn w:val="CommentText"/>
    <w:next w:val="CommentText"/>
    <w:link w:val="CommentSubjectChar"/>
    <w:uiPriority w:val="99"/>
    <w:semiHidden/>
    <w:unhideWhenUsed/>
    <w:rsid w:val="00607B1B"/>
    <w:rPr>
      <w:b/>
      <w:bCs/>
    </w:rPr>
  </w:style>
  <w:style w:type="character" w:customStyle="1" w:styleId="CommentSubjectChar">
    <w:name w:val="Comment Subject Char"/>
    <w:basedOn w:val="CommentTextChar"/>
    <w:link w:val="CommentSubject"/>
    <w:uiPriority w:val="99"/>
    <w:semiHidden/>
    <w:rsid w:val="00607B1B"/>
    <w:rPr>
      <w:b/>
      <w:bCs/>
      <w:sz w:val="20"/>
      <w:szCs w:val="20"/>
    </w:rPr>
  </w:style>
  <w:style w:type="paragraph" w:styleId="BalloonText">
    <w:name w:val="Balloon Text"/>
    <w:basedOn w:val="Normal"/>
    <w:link w:val="BalloonTextChar"/>
    <w:uiPriority w:val="99"/>
    <w:semiHidden/>
    <w:unhideWhenUsed/>
    <w:rsid w:val="00607B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B1B"/>
    <w:rPr>
      <w:rFonts w:ascii="Segoe UI" w:hAnsi="Segoe UI" w:cs="Segoe UI"/>
      <w:sz w:val="18"/>
      <w:szCs w:val="18"/>
    </w:rPr>
  </w:style>
  <w:style w:type="paragraph" w:styleId="TOCHeading">
    <w:name w:val="TOC Heading"/>
    <w:basedOn w:val="Heading1"/>
    <w:next w:val="Normal"/>
    <w:uiPriority w:val="39"/>
    <w:unhideWhenUsed/>
    <w:qFormat/>
    <w:rsid w:val="00B9425D"/>
    <w:pPr>
      <w:outlineLvl w:val="9"/>
    </w:pPr>
  </w:style>
  <w:style w:type="paragraph" w:styleId="TOC1">
    <w:name w:val="toc 1"/>
    <w:basedOn w:val="Normal"/>
    <w:next w:val="Normal"/>
    <w:autoRedefine/>
    <w:uiPriority w:val="39"/>
    <w:unhideWhenUsed/>
    <w:rsid w:val="00B9425D"/>
    <w:pPr>
      <w:spacing w:after="100"/>
    </w:pPr>
  </w:style>
  <w:style w:type="paragraph" w:styleId="TOC2">
    <w:name w:val="toc 2"/>
    <w:basedOn w:val="Normal"/>
    <w:next w:val="Normal"/>
    <w:autoRedefine/>
    <w:uiPriority w:val="39"/>
    <w:unhideWhenUsed/>
    <w:rsid w:val="00B9425D"/>
    <w:pPr>
      <w:spacing w:after="100"/>
      <w:ind w:left="220"/>
    </w:pPr>
  </w:style>
  <w:style w:type="character" w:styleId="Hyperlink">
    <w:name w:val="Hyperlink"/>
    <w:basedOn w:val="DefaultParagraphFont"/>
    <w:uiPriority w:val="99"/>
    <w:unhideWhenUsed/>
    <w:rsid w:val="00B9425D"/>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swgqtoRoDhRO3+AUJ/BlTK26Sg==">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D063D6-AF46-EB4D-9F14-D5E73281D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85</Pages>
  <Words>35161</Words>
  <Characters>200418</Characters>
  <Application>Microsoft Office Word</Application>
  <DocSecurity>0</DocSecurity>
  <Lines>1670</Lines>
  <Paragraphs>470</Paragraphs>
  <ScaleCrop>false</ScaleCrop>
  <Company/>
  <LinksUpToDate>false</LinksUpToDate>
  <CharactersWithSpaces>235109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SV_MCA</dc:creator>
  <cp:lastModifiedBy>Chaitali Pansari</cp:lastModifiedBy>
  <cp:revision>11</cp:revision>
  <dcterms:created xsi:type="dcterms:W3CDTF">2025-05-20T09:53:00Z</dcterms:created>
  <dcterms:modified xsi:type="dcterms:W3CDTF">2025-05-28T06:58:00Z</dcterms:modified>
</cp:coreProperties>
</file>